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683" w:rsidRDefault="00DB1683" w:rsidP="00817FDA">
      <w:pPr>
        <w:pStyle w:val="11"/>
      </w:pPr>
    </w:p>
    <w:p w:rsidR="00541C6F" w:rsidRDefault="00541C6F" w:rsidP="00BE09C1">
      <w:pPr>
        <w:tabs>
          <w:tab w:val="left" w:pos="567"/>
        </w:tabs>
        <w:ind w:firstLine="567"/>
        <w:rPr>
          <w:lang w:val="en-US"/>
        </w:rPr>
      </w:pPr>
    </w:p>
    <w:p w:rsidR="00541C6F" w:rsidRDefault="00541C6F" w:rsidP="00BE09C1">
      <w:pPr>
        <w:tabs>
          <w:tab w:val="left" w:pos="567"/>
        </w:tabs>
        <w:ind w:firstLine="567"/>
        <w:rPr>
          <w:lang w:val="en-US"/>
        </w:rPr>
      </w:pPr>
    </w:p>
    <w:p w:rsidR="00541C6F" w:rsidRDefault="00541C6F" w:rsidP="00BE09C1">
      <w:pPr>
        <w:tabs>
          <w:tab w:val="left" w:pos="567"/>
        </w:tabs>
        <w:ind w:firstLine="567"/>
        <w:rPr>
          <w:lang w:val="en-US"/>
        </w:rPr>
      </w:pPr>
    </w:p>
    <w:p w:rsidR="00541C6F" w:rsidRDefault="00541C6F" w:rsidP="00BE09C1">
      <w:pPr>
        <w:tabs>
          <w:tab w:val="left" w:pos="567"/>
        </w:tabs>
        <w:ind w:firstLine="567"/>
        <w:rPr>
          <w:lang w:val="en-US"/>
        </w:rPr>
      </w:pPr>
    </w:p>
    <w:p w:rsidR="00541C6F" w:rsidRDefault="00541C6F" w:rsidP="00BE09C1">
      <w:pPr>
        <w:tabs>
          <w:tab w:val="left" w:pos="567"/>
        </w:tabs>
        <w:ind w:firstLine="567"/>
        <w:rPr>
          <w:lang w:val="uk-UA"/>
        </w:rPr>
      </w:pPr>
    </w:p>
    <w:p w:rsidR="004D71F3" w:rsidRDefault="004D71F3" w:rsidP="00BE09C1">
      <w:pPr>
        <w:tabs>
          <w:tab w:val="left" w:pos="567"/>
        </w:tabs>
        <w:ind w:firstLine="567"/>
        <w:rPr>
          <w:lang w:val="uk-UA"/>
        </w:rPr>
      </w:pPr>
    </w:p>
    <w:p w:rsidR="00541C6F" w:rsidRDefault="00541C6F" w:rsidP="00BE09C1">
      <w:pPr>
        <w:tabs>
          <w:tab w:val="left" w:pos="567"/>
        </w:tabs>
        <w:ind w:firstLine="567"/>
        <w:rPr>
          <w:lang w:val="uk-UA"/>
        </w:rPr>
      </w:pPr>
    </w:p>
    <w:p w:rsidR="00646E81" w:rsidRDefault="00646E81" w:rsidP="00BE09C1">
      <w:pPr>
        <w:tabs>
          <w:tab w:val="left" w:pos="567"/>
        </w:tabs>
        <w:ind w:firstLine="567"/>
        <w:rPr>
          <w:lang w:val="uk-UA"/>
        </w:rPr>
      </w:pPr>
    </w:p>
    <w:p w:rsidR="00674CEB" w:rsidRDefault="00674CEB" w:rsidP="00BE09C1">
      <w:pPr>
        <w:tabs>
          <w:tab w:val="left" w:pos="567"/>
        </w:tabs>
        <w:ind w:firstLine="567"/>
        <w:rPr>
          <w:lang w:val="uk-UA"/>
        </w:rPr>
      </w:pPr>
    </w:p>
    <w:p w:rsidR="00674CEB" w:rsidRDefault="00674CEB" w:rsidP="00BE09C1">
      <w:pPr>
        <w:tabs>
          <w:tab w:val="left" w:pos="567"/>
        </w:tabs>
        <w:ind w:firstLine="567"/>
        <w:rPr>
          <w:lang w:val="uk-UA"/>
        </w:rPr>
      </w:pPr>
    </w:p>
    <w:p w:rsidR="00674CEB" w:rsidRDefault="00674CEB" w:rsidP="00BE09C1">
      <w:pPr>
        <w:tabs>
          <w:tab w:val="left" w:pos="567"/>
        </w:tabs>
        <w:ind w:firstLine="567"/>
        <w:rPr>
          <w:lang w:val="uk-UA"/>
        </w:rPr>
      </w:pPr>
    </w:p>
    <w:p w:rsidR="006C15C2" w:rsidRDefault="006C15C2" w:rsidP="00DF7258">
      <w:pPr>
        <w:tabs>
          <w:tab w:val="left" w:pos="567"/>
        </w:tabs>
        <w:rPr>
          <w:lang w:val="uk-UA"/>
        </w:rPr>
      </w:pPr>
    </w:p>
    <w:p w:rsidR="006C15C2" w:rsidRPr="006C6390" w:rsidRDefault="006C15C2" w:rsidP="00DF7258">
      <w:pPr>
        <w:tabs>
          <w:tab w:val="left" w:pos="567"/>
        </w:tabs>
        <w:rPr>
          <w:lang w:val="en-US"/>
        </w:rPr>
      </w:pPr>
    </w:p>
    <w:p w:rsidR="008C2FCB" w:rsidRPr="008C2FCB" w:rsidRDefault="008C2FCB" w:rsidP="00DF7258">
      <w:pPr>
        <w:tabs>
          <w:tab w:val="left" w:pos="567"/>
        </w:tabs>
        <w:rPr>
          <w:lang w:val="uk-UA"/>
        </w:rPr>
      </w:pPr>
    </w:p>
    <w:p w:rsidR="00541C6F" w:rsidRDefault="00541C6F" w:rsidP="00BE09C1">
      <w:pPr>
        <w:tabs>
          <w:tab w:val="left" w:pos="567"/>
        </w:tabs>
        <w:ind w:firstLine="567"/>
        <w:rPr>
          <w:lang w:val="uk-UA"/>
        </w:rPr>
      </w:pPr>
    </w:p>
    <w:p w:rsidR="00252301" w:rsidRPr="00512870" w:rsidRDefault="000B3F13" w:rsidP="00BB1FFB">
      <w:pPr>
        <w:tabs>
          <w:tab w:val="left" w:pos="0"/>
        </w:tabs>
        <w:jc w:val="center"/>
        <w:rPr>
          <w:sz w:val="28"/>
          <w:szCs w:val="28"/>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252301" w:rsidRPr="0090716A" w:rsidRDefault="00252301" w:rsidP="0090716A">
      <w:pPr>
        <w:tabs>
          <w:tab w:val="left" w:pos="0"/>
        </w:tabs>
        <w:jc w:val="both"/>
        <w:rPr>
          <w:sz w:val="28"/>
          <w:szCs w:val="28"/>
          <w:lang w:val="uk-UA"/>
        </w:rPr>
      </w:pPr>
    </w:p>
    <w:p w:rsidR="00F23198" w:rsidRPr="00675BE2" w:rsidRDefault="00F23198" w:rsidP="00675BE2">
      <w:pPr>
        <w:pStyle w:val="11"/>
        <w:jc w:val="center"/>
        <w:rPr>
          <w:b/>
          <w:noProof/>
          <w:sz w:val="28"/>
          <w:szCs w:val="28"/>
        </w:rPr>
      </w:pPr>
      <w:r w:rsidRPr="00675BE2">
        <w:rPr>
          <w:noProof/>
          <w:sz w:val="28"/>
          <w:szCs w:val="28"/>
        </w:rPr>
        <w:t>Індивідуальна податкова консультація</w:t>
      </w:r>
    </w:p>
    <w:p w:rsidR="00F23198" w:rsidRPr="00C348C1" w:rsidRDefault="00F23198" w:rsidP="000B3F13">
      <w:pPr>
        <w:pStyle w:val="a3"/>
        <w:spacing w:before="0" w:beforeAutospacing="0" w:after="0" w:afterAutospacing="0"/>
        <w:ind w:firstLine="567"/>
        <w:jc w:val="both"/>
        <w:rPr>
          <w:sz w:val="28"/>
          <w:szCs w:val="28"/>
          <w:lang w:val="uk-UA"/>
        </w:rPr>
      </w:pPr>
    </w:p>
    <w:p w:rsidR="004A07F4" w:rsidRPr="00C348C1" w:rsidRDefault="004A07F4" w:rsidP="007A02BB">
      <w:pPr>
        <w:pStyle w:val="11"/>
        <w:ind w:firstLine="567"/>
        <w:contextualSpacing/>
        <w:jc w:val="both"/>
        <w:rPr>
          <w:sz w:val="28"/>
          <w:szCs w:val="28"/>
        </w:rPr>
      </w:pPr>
      <w:r w:rsidRPr="00C348C1">
        <w:rPr>
          <w:sz w:val="28"/>
          <w:szCs w:val="28"/>
        </w:rPr>
        <w:t xml:space="preserve">Державна податкова служба України, керуючись ст. 52 Податкового кодексу України (далі – Кодекс), розглянула звернення </w:t>
      </w:r>
      <w:r w:rsidR="00BB1FFB" w:rsidRPr="00BB1FFB">
        <w:rPr>
          <w:sz w:val="28"/>
          <w:szCs w:val="28"/>
          <w:lang w:val="ru-RU"/>
        </w:rPr>
        <w:t>(   )</w:t>
      </w:r>
      <w:r w:rsidRPr="00C348C1">
        <w:rPr>
          <w:sz w:val="28"/>
          <w:szCs w:val="28"/>
        </w:rPr>
        <w:t xml:space="preserve"> </w:t>
      </w:r>
      <w:r w:rsidR="00196D24" w:rsidRPr="00C348C1">
        <w:rPr>
          <w:sz w:val="28"/>
          <w:szCs w:val="28"/>
        </w:rPr>
        <w:t>щодо практичного застосування окремих норм чинного законодавства та</w:t>
      </w:r>
      <w:r w:rsidR="00664F6A" w:rsidRPr="00C348C1">
        <w:rPr>
          <w:sz w:val="28"/>
          <w:szCs w:val="28"/>
        </w:rPr>
        <w:t xml:space="preserve"> у межах компетенції повідомляє.</w:t>
      </w:r>
    </w:p>
    <w:p w:rsidR="003E52B9" w:rsidRPr="00C348C1" w:rsidRDefault="003E52B9" w:rsidP="007A02BB">
      <w:pPr>
        <w:pStyle w:val="11"/>
        <w:ind w:firstLine="567"/>
        <w:contextualSpacing/>
        <w:jc w:val="both"/>
        <w:rPr>
          <w:sz w:val="28"/>
          <w:szCs w:val="28"/>
        </w:rPr>
      </w:pPr>
      <w:r w:rsidRPr="00C348C1">
        <w:rPr>
          <w:sz w:val="28"/>
          <w:szCs w:val="28"/>
        </w:rPr>
        <w:t>Платник податків повідомляє</w:t>
      </w:r>
      <w:r w:rsidR="00252301">
        <w:rPr>
          <w:sz w:val="28"/>
          <w:szCs w:val="28"/>
        </w:rPr>
        <w:t>,</w:t>
      </w:r>
      <w:r w:rsidRPr="00C348C1">
        <w:rPr>
          <w:sz w:val="28"/>
          <w:szCs w:val="28"/>
        </w:rPr>
        <w:t xml:space="preserve"> що зареєстрований фізичною особою – підприємцем, отримав виплату лікарняних від </w:t>
      </w:r>
      <w:r w:rsidR="00BB1FFB" w:rsidRPr="00BB1FFB">
        <w:rPr>
          <w:sz w:val="28"/>
          <w:szCs w:val="28"/>
        </w:rPr>
        <w:t>(   )</w:t>
      </w:r>
      <w:r w:rsidRPr="00C348C1">
        <w:rPr>
          <w:sz w:val="28"/>
          <w:szCs w:val="28"/>
        </w:rPr>
        <w:t xml:space="preserve"> міського відділення управління виконавчої дирекції Фонду соціального страхування України в </w:t>
      </w:r>
      <w:r w:rsidR="00BB1FFB" w:rsidRPr="00BB1FFB">
        <w:rPr>
          <w:sz w:val="28"/>
          <w:szCs w:val="28"/>
        </w:rPr>
        <w:t>(  )</w:t>
      </w:r>
      <w:r w:rsidRPr="00C348C1">
        <w:rPr>
          <w:sz w:val="28"/>
          <w:szCs w:val="28"/>
        </w:rPr>
        <w:t xml:space="preserve"> області (далі - Фонд). Кошти отримані на рахунок для соціальних виплат. </w:t>
      </w:r>
    </w:p>
    <w:p w:rsidR="00AA5E07" w:rsidRPr="00C348C1" w:rsidRDefault="00A73494" w:rsidP="007A02BB">
      <w:pPr>
        <w:pStyle w:val="11"/>
        <w:ind w:firstLine="567"/>
        <w:contextualSpacing/>
        <w:jc w:val="both"/>
        <w:rPr>
          <w:sz w:val="28"/>
          <w:szCs w:val="28"/>
        </w:rPr>
      </w:pPr>
      <w:r w:rsidRPr="00C348C1">
        <w:rPr>
          <w:sz w:val="28"/>
          <w:szCs w:val="28"/>
        </w:rPr>
        <w:t xml:space="preserve">Платник податків просить надати індивідуальну </w:t>
      </w:r>
      <w:r w:rsidR="00771EEB" w:rsidRPr="00C348C1">
        <w:rPr>
          <w:sz w:val="28"/>
          <w:szCs w:val="28"/>
        </w:rPr>
        <w:t>податкову консультацію з питан</w:t>
      </w:r>
      <w:r w:rsidR="00AA5E07" w:rsidRPr="00C348C1">
        <w:rPr>
          <w:sz w:val="28"/>
          <w:szCs w:val="28"/>
        </w:rPr>
        <w:t>ь:</w:t>
      </w:r>
    </w:p>
    <w:p w:rsidR="00175934" w:rsidRPr="00C348C1" w:rsidRDefault="00175934" w:rsidP="007A02BB">
      <w:pPr>
        <w:pStyle w:val="11"/>
        <w:ind w:firstLine="567"/>
        <w:contextualSpacing/>
        <w:jc w:val="both"/>
        <w:rPr>
          <w:sz w:val="28"/>
          <w:szCs w:val="28"/>
        </w:rPr>
      </w:pPr>
      <w:r w:rsidRPr="00C348C1">
        <w:rPr>
          <w:sz w:val="28"/>
          <w:szCs w:val="28"/>
        </w:rPr>
        <w:t>1.</w:t>
      </w:r>
      <w:r w:rsidR="003E52B9" w:rsidRPr="00C348C1">
        <w:rPr>
          <w:sz w:val="28"/>
          <w:szCs w:val="28"/>
        </w:rPr>
        <w:t xml:space="preserve"> Хто є податковим агентом при виплаті лікарняних фізичній особі – підприємцю, та зобов’язаний сплачувати податок на доходи фізичних осіб та військовий збір</w:t>
      </w:r>
      <w:r w:rsidRPr="00C348C1">
        <w:rPr>
          <w:sz w:val="28"/>
          <w:szCs w:val="28"/>
        </w:rPr>
        <w:t xml:space="preserve">? </w:t>
      </w:r>
    </w:p>
    <w:p w:rsidR="00175934" w:rsidRPr="00C348C1" w:rsidRDefault="00175934" w:rsidP="007A02BB">
      <w:pPr>
        <w:pStyle w:val="11"/>
        <w:ind w:firstLine="567"/>
        <w:contextualSpacing/>
        <w:jc w:val="both"/>
        <w:rPr>
          <w:sz w:val="28"/>
          <w:szCs w:val="28"/>
        </w:rPr>
      </w:pPr>
      <w:r w:rsidRPr="00C348C1">
        <w:rPr>
          <w:sz w:val="28"/>
          <w:szCs w:val="28"/>
        </w:rPr>
        <w:t>2.</w:t>
      </w:r>
      <w:r w:rsidR="003E52B9" w:rsidRPr="00C348C1">
        <w:rPr>
          <w:sz w:val="28"/>
          <w:szCs w:val="28"/>
        </w:rPr>
        <w:t xml:space="preserve"> Чи повинна фізична особа – підприємець сплачувати податок на доходи фізичних осіб та військовий збір з суми лікарняних отриманих від Фонду</w:t>
      </w:r>
      <w:r w:rsidRPr="00C348C1">
        <w:rPr>
          <w:sz w:val="28"/>
          <w:szCs w:val="28"/>
        </w:rPr>
        <w:t>?</w:t>
      </w:r>
    </w:p>
    <w:p w:rsidR="00664F6A" w:rsidRPr="00C348C1" w:rsidRDefault="00EE1410" w:rsidP="00931088">
      <w:pPr>
        <w:pStyle w:val="11"/>
        <w:ind w:firstLine="567"/>
        <w:contextualSpacing/>
        <w:jc w:val="both"/>
        <w:rPr>
          <w:rStyle w:val="z-label"/>
          <w:sz w:val="28"/>
          <w:szCs w:val="28"/>
        </w:rPr>
      </w:pPr>
      <w:r>
        <w:rPr>
          <w:rStyle w:val="z-label"/>
          <w:sz w:val="28"/>
          <w:szCs w:val="28"/>
        </w:rPr>
        <w:t>Відповідно до</w:t>
      </w:r>
      <w:r w:rsidR="00664F6A" w:rsidRPr="00C348C1">
        <w:rPr>
          <w:rStyle w:val="z-label"/>
          <w:sz w:val="28"/>
          <w:szCs w:val="28"/>
        </w:rPr>
        <w:t xml:space="preserve"> частин</w:t>
      </w:r>
      <w:r>
        <w:rPr>
          <w:rStyle w:val="z-label"/>
          <w:sz w:val="28"/>
          <w:szCs w:val="28"/>
        </w:rPr>
        <w:t>и</w:t>
      </w:r>
      <w:r w:rsidR="00664F6A" w:rsidRPr="00C348C1">
        <w:rPr>
          <w:rStyle w:val="z-label"/>
          <w:sz w:val="28"/>
          <w:szCs w:val="28"/>
        </w:rPr>
        <w:t xml:space="preserve"> першо</w:t>
      </w:r>
      <w:r>
        <w:rPr>
          <w:rStyle w:val="z-label"/>
          <w:sz w:val="28"/>
          <w:szCs w:val="28"/>
        </w:rPr>
        <w:t>ї</w:t>
      </w:r>
      <w:r w:rsidR="00664F6A" w:rsidRPr="00C348C1">
        <w:rPr>
          <w:rStyle w:val="z-label"/>
          <w:sz w:val="28"/>
          <w:szCs w:val="28"/>
        </w:rPr>
        <w:t xml:space="preserve"> ст. 12 </w:t>
      </w:r>
      <w:r w:rsidR="00931088" w:rsidRPr="00C348C1">
        <w:rPr>
          <w:sz w:val="28"/>
        </w:rPr>
        <w:t xml:space="preserve">Закону України від 23 вересня </w:t>
      </w:r>
      <w:r>
        <w:rPr>
          <w:sz w:val="28"/>
        </w:rPr>
        <w:br/>
      </w:r>
      <w:r w:rsidR="00931088" w:rsidRPr="00C348C1">
        <w:rPr>
          <w:sz w:val="28"/>
        </w:rPr>
        <w:t xml:space="preserve">1999 року </w:t>
      </w:r>
      <w:r w:rsidR="00931088" w:rsidRPr="00C348C1">
        <w:rPr>
          <w:rFonts w:eastAsia="Segoe UI Symbol"/>
          <w:sz w:val="28"/>
        </w:rPr>
        <w:t>№</w:t>
      </w:r>
      <w:r w:rsidR="00931088" w:rsidRPr="00C348C1">
        <w:rPr>
          <w:sz w:val="28"/>
        </w:rPr>
        <w:t xml:space="preserve"> 1105-XIV «Про загальнообов’язкове державне соціальне страхування» (далі </w:t>
      </w:r>
      <w:r w:rsidR="00931088" w:rsidRPr="00C348C1">
        <w:rPr>
          <w:rStyle w:val="z-label"/>
          <w:sz w:val="28"/>
          <w:szCs w:val="28"/>
        </w:rPr>
        <w:t xml:space="preserve">– </w:t>
      </w:r>
      <w:r w:rsidR="00931088" w:rsidRPr="00C348C1">
        <w:rPr>
          <w:sz w:val="28"/>
        </w:rPr>
        <w:t>Закон № 1105)</w:t>
      </w:r>
      <w:r w:rsidR="00931088" w:rsidRPr="00C348C1">
        <w:rPr>
          <w:rStyle w:val="z-label"/>
          <w:sz w:val="28"/>
          <w:szCs w:val="28"/>
        </w:rPr>
        <w:t xml:space="preserve"> </w:t>
      </w:r>
      <w:r w:rsidR="00664F6A" w:rsidRPr="00C348C1">
        <w:rPr>
          <w:rStyle w:val="z-label"/>
          <w:sz w:val="28"/>
          <w:szCs w:val="28"/>
        </w:rPr>
        <w:t>право на страхові виплати за страхуванням у зв’язку з тимчасовою втратою працездатності мають застраховані особи – громадяни України, іноземці, особи без громадянства та члени їхніх сімей, які проживають в Україні, якщо інше не передбачено міжнародним договором України, згода на обов’язковість якого надана Верховною Радою України. Це право виникає з настанням страхового випадку в період роботи (включаючи час випробування та день звільнення), зайняття підприємницькою та іншою діяльністю, якщо інше не передбачено законом.</w:t>
      </w:r>
    </w:p>
    <w:p w:rsidR="00664F6A" w:rsidRPr="00C348C1" w:rsidRDefault="00664F6A" w:rsidP="007A02BB">
      <w:pPr>
        <w:pStyle w:val="11"/>
        <w:ind w:firstLine="567"/>
        <w:contextualSpacing/>
        <w:jc w:val="both"/>
        <w:rPr>
          <w:rStyle w:val="z-label"/>
          <w:sz w:val="28"/>
          <w:szCs w:val="28"/>
        </w:rPr>
      </w:pPr>
      <w:r w:rsidRPr="00C348C1">
        <w:rPr>
          <w:rStyle w:val="z-label"/>
          <w:sz w:val="28"/>
          <w:szCs w:val="28"/>
        </w:rPr>
        <w:t xml:space="preserve">Пунктом 1 частини другої ст. 10 Закону у редакції, яка діяла </w:t>
      </w:r>
      <w:r w:rsidRPr="00C348C1">
        <w:rPr>
          <w:rStyle w:val="z-label"/>
          <w:sz w:val="28"/>
          <w:szCs w:val="28"/>
        </w:rPr>
        <w:br/>
        <w:t xml:space="preserve">до 01.01.2023, визначено, що Фонд зобов’язаний </w:t>
      </w:r>
      <w:r w:rsidRPr="00C348C1">
        <w:rPr>
          <w:sz w:val="28"/>
          <w:szCs w:val="28"/>
        </w:rPr>
        <w:t xml:space="preserve">забезпечувати фінансування </w:t>
      </w:r>
      <w:r w:rsidRPr="00C348C1">
        <w:rPr>
          <w:sz w:val="28"/>
          <w:szCs w:val="28"/>
        </w:rPr>
        <w:br/>
      </w:r>
      <w:r w:rsidRPr="00C348C1">
        <w:rPr>
          <w:sz w:val="28"/>
          <w:szCs w:val="28"/>
        </w:rPr>
        <w:lastRenderedPageBreak/>
        <w:t xml:space="preserve">та виплачувати матеріальне забезпечення, страхові виплати і надавати соціальні послуги, передбачені </w:t>
      </w:r>
      <w:r w:rsidRPr="00C348C1">
        <w:rPr>
          <w:rStyle w:val="z-label"/>
          <w:sz w:val="28"/>
          <w:szCs w:val="28"/>
        </w:rPr>
        <w:t>Законом</w:t>
      </w:r>
      <w:r w:rsidR="00EE1410">
        <w:rPr>
          <w:rStyle w:val="z-label"/>
          <w:sz w:val="28"/>
          <w:szCs w:val="28"/>
        </w:rPr>
        <w:t xml:space="preserve"> </w:t>
      </w:r>
      <w:r w:rsidR="00EE1410" w:rsidRPr="00C348C1">
        <w:rPr>
          <w:rStyle w:val="z-label"/>
          <w:sz w:val="28"/>
          <w:szCs w:val="28"/>
        </w:rPr>
        <w:t>№ 1105</w:t>
      </w:r>
      <w:r w:rsidRPr="00C348C1">
        <w:rPr>
          <w:rStyle w:val="z-label"/>
          <w:sz w:val="28"/>
          <w:szCs w:val="28"/>
        </w:rPr>
        <w:t>.</w:t>
      </w:r>
    </w:p>
    <w:p w:rsidR="00664F6A" w:rsidRPr="00C348C1" w:rsidRDefault="00664F6A" w:rsidP="007A02BB">
      <w:pPr>
        <w:pStyle w:val="11"/>
        <w:ind w:firstLine="567"/>
        <w:contextualSpacing/>
        <w:jc w:val="both"/>
        <w:rPr>
          <w:rStyle w:val="z-label"/>
          <w:sz w:val="28"/>
          <w:szCs w:val="28"/>
        </w:rPr>
      </w:pPr>
      <w:r w:rsidRPr="00C348C1">
        <w:rPr>
          <w:rStyle w:val="z-label"/>
          <w:sz w:val="28"/>
          <w:szCs w:val="28"/>
        </w:rPr>
        <w:t>Відповідно до положень ст. 34 Закону № 1105</w:t>
      </w:r>
      <w:r w:rsidR="00A32D3E" w:rsidRPr="00C348C1">
        <w:rPr>
          <w:rStyle w:val="z-label"/>
          <w:sz w:val="28"/>
          <w:szCs w:val="28"/>
        </w:rPr>
        <w:t xml:space="preserve"> у редакції, яка діяла </w:t>
      </w:r>
      <w:r w:rsidR="00A32D3E" w:rsidRPr="00C348C1">
        <w:rPr>
          <w:rStyle w:val="z-label"/>
          <w:sz w:val="28"/>
          <w:szCs w:val="28"/>
        </w:rPr>
        <w:br/>
        <w:t>до 01.01.2023,</w:t>
      </w:r>
      <w:r w:rsidRPr="00C348C1">
        <w:rPr>
          <w:rStyle w:val="z-label"/>
          <w:sz w:val="28"/>
          <w:szCs w:val="28"/>
        </w:rPr>
        <w:t xml:space="preserve"> фінансування страхувальників для надання матеріального забезпечення застрахованим особам здійснюється робочими органами Фонду в порядку, встановленому правлінням Фонду.</w:t>
      </w:r>
    </w:p>
    <w:p w:rsidR="00664F6A" w:rsidRPr="00C348C1" w:rsidRDefault="00664F6A" w:rsidP="007A02BB">
      <w:pPr>
        <w:pStyle w:val="11"/>
        <w:ind w:firstLine="567"/>
        <w:contextualSpacing/>
        <w:jc w:val="both"/>
        <w:rPr>
          <w:rStyle w:val="z-label"/>
          <w:sz w:val="28"/>
          <w:szCs w:val="28"/>
        </w:rPr>
      </w:pPr>
      <w:r w:rsidRPr="00C348C1">
        <w:rPr>
          <w:rStyle w:val="z-label"/>
          <w:sz w:val="28"/>
          <w:szCs w:val="28"/>
        </w:rPr>
        <w:t xml:space="preserve">Робочі органи виконавчої дирекції Фонду при реалізації норм Закону № 1105 (у редакції, що діяла до 01.01.2023), а з 01.01.2023 органи Пенсійного фонду України в частині загальнообов’язкового державного соціального страхування у зв’язку з тимчасовою втратою працездатності не здійснюють нарахування та виплату допомоги по тимчасовій втраті працездатності, а лише фінансують такі виплати шляхом перерахування коштів страхувальникам на підставі поданих заяв-розрахунків, а нарахування сум допомоги та їх виплату здійснюють безпосередньо страхувальники. </w:t>
      </w:r>
    </w:p>
    <w:p w:rsidR="00FF590C" w:rsidRPr="00C348C1" w:rsidRDefault="00FF590C" w:rsidP="007A02BB">
      <w:pPr>
        <w:pStyle w:val="11"/>
        <w:ind w:firstLine="567"/>
        <w:contextualSpacing/>
        <w:jc w:val="both"/>
        <w:rPr>
          <w:rStyle w:val="z-label"/>
          <w:sz w:val="28"/>
          <w:szCs w:val="28"/>
        </w:rPr>
      </w:pPr>
      <w:r w:rsidRPr="00C348C1">
        <w:rPr>
          <w:rStyle w:val="z-label"/>
          <w:sz w:val="28"/>
          <w:szCs w:val="28"/>
        </w:rPr>
        <w:t>Порядок фінансування страхувальників уповноваженим органом управління регламентовано ст. 26 Закону № 1105 (в чинній редакції).</w:t>
      </w:r>
    </w:p>
    <w:p w:rsidR="00FF590C" w:rsidRPr="00C348C1" w:rsidRDefault="00FF590C" w:rsidP="007A02BB">
      <w:pPr>
        <w:pStyle w:val="11"/>
        <w:ind w:firstLine="567"/>
        <w:contextualSpacing/>
        <w:jc w:val="both"/>
        <w:rPr>
          <w:rStyle w:val="z-label"/>
          <w:sz w:val="28"/>
          <w:szCs w:val="28"/>
        </w:rPr>
      </w:pPr>
      <w:r w:rsidRPr="00C348C1">
        <w:rPr>
          <w:rStyle w:val="z-label"/>
          <w:sz w:val="28"/>
          <w:szCs w:val="28"/>
        </w:rPr>
        <w:t xml:space="preserve">Фінансування страхувальників для надання страхових виплат за страхуванням у зв’язку з тимчасовою втратою непрацездатності застрахованим особам здійснюється територіальними органами уповноваженого органу управління в порядку, встановленому правлінням Пенсійного фонду України. </w:t>
      </w:r>
    </w:p>
    <w:p w:rsidR="00FF590C" w:rsidRPr="00C348C1" w:rsidRDefault="00FF590C" w:rsidP="00FF590C">
      <w:pPr>
        <w:pStyle w:val="11"/>
        <w:ind w:firstLine="567"/>
        <w:contextualSpacing/>
        <w:jc w:val="both"/>
        <w:rPr>
          <w:rStyle w:val="z-label"/>
          <w:sz w:val="28"/>
          <w:szCs w:val="28"/>
        </w:rPr>
      </w:pPr>
      <w:r w:rsidRPr="00C348C1">
        <w:rPr>
          <w:rStyle w:val="z-label"/>
          <w:sz w:val="28"/>
          <w:szCs w:val="28"/>
        </w:rPr>
        <w:t>Підставою для фінансування страхувальників територіальними органами уповноваженого</w:t>
      </w:r>
      <w:r w:rsidR="00EE1410">
        <w:rPr>
          <w:rStyle w:val="z-label"/>
          <w:sz w:val="28"/>
          <w:szCs w:val="28"/>
        </w:rPr>
        <w:t xml:space="preserve"> </w:t>
      </w:r>
      <w:r w:rsidRPr="00C348C1">
        <w:rPr>
          <w:rStyle w:val="z-label"/>
          <w:sz w:val="28"/>
          <w:szCs w:val="28"/>
        </w:rPr>
        <w:t>ор</w:t>
      </w:r>
      <w:r w:rsidR="00EE1410">
        <w:rPr>
          <w:rStyle w:val="z-label"/>
          <w:sz w:val="28"/>
          <w:szCs w:val="28"/>
        </w:rPr>
        <w:t>г</w:t>
      </w:r>
      <w:r w:rsidRPr="00C348C1">
        <w:rPr>
          <w:rStyle w:val="z-label"/>
          <w:sz w:val="28"/>
          <w:szCs w:val="28"/>
        </w:rPr>
        <w:t>ану</w:t>
      </w:r>
      <w:r w:rsidR="00EE1410">
        <w:rPr>
          <w:rStyle w:val="z-label"/>
          <w:sz w:val="28"/>
          <w:szCs w:val="28"/>
        </w:rPr>
        <w:t xml:space="preserve"> </w:t>
      </w:r>
      <w:r w:rsidRPr="00C348C1">
        <w:rPr>
          <w:rStyle w:val="z-label"/>
          <w:sz w:val="28"/>
          <w:szCs w:val="28"/>
        </w:rPr>
        <w:t>управління є оформлена за встановленим зразком заява-розрахунок, що містить інформацію про нараховані застрахованим особам суми матеріального забезпечення за їх видами.</w:t>
      </w:r>
    </w:p>
    <w:p w:rsidR="006854E0" w:rsidRPr="00C348C1" w:rsidRDefault="006854E0" w:rsidP="006854E0">
      <w:pPr>
        <w:pStyle w:val="11"/>
        <w:ind w:firstLine="567"/>
        <w:contextualSpacing/>
        <w:jc w:val="both"/>
        <w:rPr>
          <w:rStyle w:val="z-label"/>
          <w:sz w:val="28"/>
          <w:szCs w:val="28"/>
        </w:rPr>
      </w:pPr>
      <w:r w:rsidRPr="00C348C1">
        <w:rPr>
          <w:rStyle w:val="z-label"/>
          <w:sz w:val="28"/>
          <w:szCs w:val="28"/>
        </w:rPr>
        <w:t>Страхувальник відкриває окремий поточний рахунок для зарахування страхових коштів у банках у порядку, встановленому Національним банком України.</w:t>
      </w:r>
    </w:p>
    <w:p w:rsidR="006854E0" w:rsidRPr="00C348C1" w:rsidRDefault="006854E0" w:rsidP="006854E0">
      <w:pPr>
        <w:pStyle w:val="11"/>
        <w:ind w:firstLine="567"/>
        <w:contextualSpacing/>
        <w:jc w:val="both"/>
        <w:rPr>
          <w:rStyle w:val="z-label"/>
          <w:sz w:val="28"/>
          <w:szCs w:val="28"/>
        </w:rPr>
      </w:pPr>
      <w:r w:rsidRPr="00C348C1">
        <w:rPr>
          <w:rStyle w:val="z-label"/>
          <w:sz w:val="28"/>
          <w:szCs w:val="28"/>
        </w:rPr>
        <w:t>Кошти, що надходять на зазначений рахунок, обліковуються на окремому субрахунку.</w:t>
      </w:r>
    </w:p>
    <w:p w:rsidR="007B6DED" w:rsidRPr="00C348C1" w:rsidRDefault="006854E0" w:rsidP="007B6DED">
      <w:pPr>
        <w:pStyle w:val="11"/>
        <w:ind w:firstLine="567"/>
        <w:contextualSpacing/>
        <w:jc w:val="both"/>
        <w:rPr>
          <w:rStyle w:val="z-label"/>
          <w:sz w:val="28"/>
          <w:szCs w:val="28"/>
        </w:rPr>
      </w:pPr>
      <w:r w:rsidRPr="00C348C1">
        <w:rPr>
          <w:rStyle w:val="z-label"/>
          <w:sz w:val="28"/>
          <w:szCs w:val="28"/>
        </w:rPr>
        <w:t xml:space="preserve">Страхові кошти, зараховані на окремий поточний рахунок у банку </w:t>
      </w:r>
      <w:r w:rsidRPr="00C348C1">
        <w:rPr>
          <w:rStyle w:val="z-label"/>
          <w:sz w:val="28"/>
          <w:szCs w:val="28"/>
        </w:rPr>
        <w:br/>
        <w:t>або на окремий рахунок в органі, що здійснює казначейське обслуговування бюджетних коштів (далі – окремий рахунок), можуть бути використані страхувальником виключно на</w:t>
      </w:r>
      <w:r w:rsidR="007B6DED" w:rsidRPr="00C348C1">
        <w:rPr>
          <w:rStyle w:val="z-label"/>
          <w:sz w:val="28"/>
          <w:szCs w:val="28"/>
        </w:rPr>
        <w:t xml:space="preserve"> здійснення застрахованим особам страхових виплат за страхуванням у зв’язку з тимчасовою втратою працездатності. </w:t>
      </w:r>
    </w:p>
    <w:p w:rsidR="00FF590C" w:rsidRPr="00C348C1" w:rsidRDefault="00EE1410" w:rsidP="00674CEB">
      <w:pPr>
        <w:pStyle w:val="11"/>
        <w:ind w:firstLine="567"/>
        <w:contextualSpacing/>
        <w:jc w:val="both"/>
        <w:rPr>
          <w:rStyle w:val="z-label"/>
          <w:sz w:val="28"/>
          <w:szCs w:val="28"/>
        </w:rPr>
      </w:pPr>
      <w:r>
        <w:rPr>
          <w:rStyle w:val="z-label"/>
          <w:sz w:val="28"/>
          <w:szCs w:val="28"/>
        </w:rPr>
        <w:t xml:space="preserve">Страхові кошти, </w:t>
      </w:r>
      <w:r w:rsidR="006854E0" w:rsidRPr="00C348C1">
        <w:rPr>
          <w:rStyle w:val="z-label"/>
          <w:sz w:val="28"/>
          <w:szCs w:val="28"/>
        </w:rPr>
        <w:t>зараховані на окремий рахунок, не можуть бути спрямовані на задоволення вимог кредиторів, на с</w:t>
      </w:r>
      <w:r w:rsidR="007B6DED" w:rsidRPr="00C348C1">
        <w:rPr>
          <w:rStyle w:val="z-label"/>
          <w:sz w:val="28"/>
          <w:szCs w:val="28"/>
        </w:rPr>
        <w:t>тягнення на підставі виконавчих</w:t>
      </w:r>
      <w:r>
        <w:rPr>
          <w:rStyle w:val="z-label"/>
          <w:sz w:val="28"/>
          <w:szCs w:val="28"/>
        </w:rPr>
        <w:t xml:space="preserve"> </w:t>
      </w:r>
      <w:r w:rsidR="007B6DED" w:rsidRPr="00C348C1">
        <w:rPr>
          <w:rStyle w:val="z-label"/>
          <w:sz w:val="28"/>
          <w:szCs w:val="28"/>
        </w:rPr>
        <w:t>та</w:t>
      </w:r>
      <w:r>
        <w:rPr>
          <w:rStyle w:val="z-label"/>
          <w:sz w:val="28"/>
          <w:szCs w:val="28"/>
        </w:rPr>
        <w:t xml:space="preserve"> </w:t>
      </w:r>
      <w:r w:rsidR="007B6DED" w:rsidRPr="00C348C1">
        <w:rPr>
          <w:rStyle w:val="z-label"/>
          <w:sz w:val="28"/>
          <w:szCs w:val="28"/>
        </w:rPr>
        <w:t>інших</w:t>
      </w:r>
      <w:r>
        <w:rPr>
          <w:rStyle w:val="z-label"/>
          <w:sz w:val="28"/>
          <w:szCs w:val="28"/>
        </w:rPr>
        <w:t xml:space="preserve"> </w:t>
      </w:r>
      <w:r w:rsidR="006854E0" w:rsidRPr="00C348C1">
        <w:rPr>
          <w:rStyle w:val="z-label"/>
          <w:sz w:val="28"/>
          <w:szCs w:val="28"/>
        </w:rPr>
        <w:t>документів, за якими здійснюється стягнення відповідно до закону.</w:t>
      </w:r>
    </w:p>
    <w:p w:rsidR="00664F6A" w:rsidRPr="00C348C1" w:rsidRDefault="00664F6A" w:rsidP="007A02BB">
      <w:pPr>
        <w:pStyle w:val="11"/>
        <w:ind w:firstLine="567"/>
        <w:contextualSpacing/>
        <w:jc w:val="both"/>
        <w:rPr>
          <w:rStyle w:val="z-label"/>
          <w:sz w:val="28"/>
          <w:szCs w:val="28"/>
        </w:rPr>
      </w:pPr>
      <w:r w:rsidRPr="00C348C1">
        <w:rPr>
          <w:rStyle w:val="z-label"/>
          <w:sz w:val="28"/>
          <w:szCs w:val="28"/>
        </w:rPr>
        <w:t xml:space="preserve">Постановою правління Пенсійного фонду України від 21.12.2022 № 28-3 «Деякі питання фінансування для здійснення виплат та надання соціальних послуг, визначених Законом України «Про загальнообов’язкове державне соціальне страхування», визначено, що Порядок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w:t>
      </w:r>
      <w:r w:rsidRPr="00C348C1">
        <w:rPr>
          <w:rStyle w:val="z-label"/>
          <w:sz w:val="28"/>
          <w:szCs w:val="28"/>
        </w:rPr>
        <w:lastRenderedPageBreak/>
        <w:t>виробництві за рахунок коштів Фонду соціального страхування України, затверджений постановою правління Фонду соціального страхування України від 19.07.2018 № 12 (далі – Порядок № 12), діє до прийняття правлінням Пенсійного фонду України нового механізму фінансування страхувальників для надання страхових виплат відповідно до Закону № 1105</w:t>
      </w:r>
      <w:r w:rsidR="00674CEB" w:rsidRPr="00C348C1">
        <w:rPr>
          <w:rStyle w:val="z-label"/>
          <w:sz w:val="28"/>
          <w:szCs w:val="28"/>
        </w:rPr>
        <w:t xml:space="preserve"> (в чинній редакції)</w:t>
      </w:r>
      <w:r w:rsidRPr="00C348C1">
        <w:rPr>
          <w:rStyle w:val="z-label"/>
          <w:sz w:val="28"/>
          <w:szCs w:val="28"/>
        </w:rPr>
        <w:t xml:space="preserve"> і застосовується з урахуванням наступного.</w:t>
      </w:r>
    </w:p>
    <w:p w:rsidR="00664F6A" w:rsidRPr="00C348C1" w:rsidRDefault="00664F6A" w:rsidP="007A02BB">
      <w:pPr>
        <w:pStyle w:val="11"/>
        <w:ind w:firstLine="567"/>
        <w:contextualSpacing/>
        <w:jc w:val="both"/>
        <w:rPr>
          <w:rStyle w:val="z-label"/>
          <w:sz w:val="28"/>
          <w:szCs w:val="28"/>
        </w:rPr>
      </w:pPr>
      <w:r w:rsidRPr="00C348C1">
        <w:rPr>
          <w:rStyle w:val="z-label"/>
          <w:sz w:val="28"/>
          <w:szCs w:val="28"/>
        </w:rPr>
        <w:t>Фінансування для здійснення страхових вип</w:t>
      </w:r>
      <w:r w:rsidR="00004EEF" w:rsidRPr="00C348C1">
        <w:rPr>
          <w:rStyle w:val="z-label"/>
          <w:sz w:val="28"/>
          <w:szCs w:val="28"/>
        </w:rPr>
        <w:t>лат, визначених Законом № 1105 (</w:t>
      </w:r>
      <w:r w:rsidRPr="00C348C1">
        <w:rPr>
          <w:rStyle w:val="z-label"/>
          <w:sz w:val="28"/>
          <w:szCs w:val="28"/>
        </w:rPr>
        <w:t>в чинній редакції</w:t>
      </w:r>
      <w:r w:rsidR="00004EEF" w:rsidRPr="00C348C1">
        <w:rPr>
          <w:rStyle w:val="z-label"/>
          <w:sz w:val="28"/>
          <w:szCs w:val="28"/>
        </w:rPr>
        <w:t>)</w:t>
      </w:r>
      <w:r w:rsidRPr="00C348C1">
        <w:rPr>
          <w:rStyle w:val="z-label"/>
          <w:sz w:val="28"/>
          <w:szCs w:val="28"/>
        </w:rPr>
        <w:t xml:space="preserve">, здійснюється </w:t>
      </w:r>
      <w:r w:rsidRPr="00C348C1">
        <w:rPr>
          <w:sz w:val="28"/>
          <w:szCs w:val="28"/>
        </w:rPr>
        <w:t xml:space="preserve">Уповноваженим органом управління в системі загальнообов’язкового державного соціального страхування у зв’язку з тимчасовою втратою працездатності та від нещасного випадку, яким є Пенсійний фонд України, </w:t>
      </w:r>
      <w:r w:rsidRPr="00C348C1">
        <w:rPr>
          <w:rStyle w:val="z-label"/>
          <w:sz w:val="28"/>
          <w:szCs w:val="28"/>
        </w:rPr>
        <w:t xml:space="preserve">на підставі заяв-розрахунків, що містять інформацію про нараховані застрахованим особам суми страхових виплат за їх видами. Заява-розрахунок та повідомлення про виплату коштів застрахованим особам подаються страхувальниками. </w:t>
      </w:r>
    </w:p>
    <w:p w:rsidR="00004EEF" w:rsidRPr="00C348C1" w:rsidRDefault="00664F6A" w:rsidP="007A02BB">
      <w:pPr>
        <w:pStyle w:val="11"/>
        <w:ind w:firstLine="567"/>
        <w:contextualSpacing/>
        <w:jc w:val="both"/>
        <w:rPr>
          <w:sz w:val="28"/>
          <w:szCs w:val="28"/>
        </w:rPr>
      </w:pPr>
      <w:r w:rsidRPr="00C348C1">
        <w:rPr>
          <w:rStyle w:val="z-label"/>
          <w:sz w:val="28"/>
          <w:szCs w:val="28"/>
        </w:rPr>
        <w:t>Положеннями Закону України від 08 липня 2010 року № 2464-</w:t>
      </w:r>
      <w:r w:rsidRPr="00C348C1">
        <w:rPr>
          <w:rStyle w:val="z-label"/>
          <w:sz w:val="28"/>
          <w:szCs w:val="28"/>
          <w:lang w:val="en-US"/>
        </w:rPr>
        <w:t>VI</w:t>
      </w:r>
      <w:r w:rsidRPr="00C348C1">
        <w:rPr>
          <w:rStyle w:val="z-label"/>
          <w:sz w:val="28"/>
          <w:szCs w:val="28"/>
        </w:rPr>
        <w:t xml:space="preserve"> «Про збір та облік єдиного внеску на загальнообов’язкове державне соціальне страхування» (далі – Закон № 2464) визначено, що страхувальники – це роботодавці та інші особи, які відповідно до Закону № 2464 зобов’язані сплачувати єдиний внесок на загальнообов’язкове державне соціальне страхування (далі – єдиний внесок). </w:t>
      </w:r>
      <w:r w:rsidRPr="00C348C1">
        <w:rPr>
          <w:sz w:val="28"/>
          <w:szCs w:val="28"/>
        </w:rPr>
        <w:t>Застрахована особа – фізична особа, яка відповідно до законодавства підлягає загальнообов’язковому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w:t>
      </w:r>
    </w:p>
    <w:p w:rsidR="00664F6A" w:rsidRPr="00C348C1" w:rsidRDefault="00664F6A" w:rsidP="007A02BB">
      <w:pPr>
        <w:pStyle w:val="11"/>
        <w:ind w:firstLine="567"/>
        <w:contextualSpacing/>
        <w:jc w:val="both"/>
        <w:rPr>
          <w:rStyle w:val="z-label"/>
          <w:sz w:val="28"/>
          <w:szCs w:val="28"/>
        </w:rPr>
      </w:pPr>
      <w:r w:rsidRPr="00C348C1">
        <w:rPr>
          <w:sz w:val="28"/>
          <w:szCs w:val="28"/>
        </w:rPr>
        <w:t>Тобто с</w:t>
      </w:r>
      <w:r w:rsidRPr="00C348C1">
        <w:rPr>
          <w:spacing w:val="5"/>
          <w:sz w:val="28"/>
          <w:szCs w:val="28"/>
        </w:rPr>
        <w:t>амозайнята особа</w:t>
      </w:r>
      <w:r w:rsidRPr="00C348C1">
        <w:rPr>
          <w:rStyle w:val="z-label"/>
          <w:sz w:val="28"/>
          <w:szCs w:val="28"/>
        </w:rPr>
        <w:t xml:space="preserve"> як страхувальник, на підставі передбачених Законом № 1105 документів приймає рішення про призначення страхових виплат, пов’язаних з тимчасовою втратою працездатності, нараховує суми для виплати та оформляє заяву-розрахунок.</w:t>
      </w:r>
    </w:p>
    <w:p w:rsidR="00664F6A" w:rsidRPr="00C348C1" w:rsidRDefault="00664F6A" w:rsidP="007A02BB">
      <w:pPr>
        <w:pStyle w:val="11"/>
        <w:ind w:firstLine="567"/>
        <w:contextualSpacing/>
        <w:jc w:val="both"/>
        <w:rPr>
          <w:rStyle w:val="z-label"/>
          <w:sz w:val="28"/>
          <w:szCs w:val="28"/>
        </w:rPr>
      </w:pPr>
      <w:r w:rsidRPr="00C348C1">
        <w:rPr>
          <w:rStyle w:val="z-label"/>
          <w:sz w:val="28"/>
          <w:szCs w:val="28"/>
        </w:rPr>
        <w:t xml:space="preserve">За змістом заяви-розрахунку, форма якої визначена додатком 1 до Порядку № 12, страхувальник просить здійснити фінансування за рахунок коштів соціального страхування для надання матеріального забезпечення застрахованим особам у розмірі, вказаному у заяві-розрахунку. </w:t>
      </w:r>
    </w:p>
    <w:p w:rsidR="00664F6A" w:rsidRDefault="00664F6A" w:rsidP="007A02BB">
      <w:pPr>
        <w:pStyle w:val="11"/>
        <w:ind w:firstLine="567"/>
        <w:contextualSpacing/>
        <w:jc w:val="both"/>
        <w:rPr>
          <w:rStyle w:val="z-label"/>
          <w:sz w:val="28"/>
          <w:szCs w:val="28"/>
        </w:rPr>
      </w:pPr>
      <w:r w:rsidRPr="00C348C1">
        <w:rPr>
          <w:rStyle w:val="z-label"/>
          <w:sz w:val="28"/>
          <w:szCs w:val="28"/>
        </w:rPr>
        <w:t>Для зарахування страхових коштів страхувальник відкриває окремий поточний рахунок у банках у порядку, встановленому Національним банком України. Кошти, що надходять на зазначений рахунок, обліковуються на окремому субрахунку.</w:t>
      </w:r>
    </w:p>
    <w:p w:rsidR="00EE1410" w:rsidRPr="00C348C1" w:rsidRDefault="00EE1410" w:rsidP="00EE1410">
      <w:pPr>
        <w:pStyle w:val="11"/>
        <w:ind w:firstLine="567"/>
        <w:contextualSpacing/>
        <w:jc w:val="both"/>
        <w:rPr>
          <w:rStyle w:val="z-label"/>
          <w:sz w:val="28"/>
          <w:szCs w:val="28"/>
        </w:rPr>
      </w:pPr>
      <w:r w:rsidRPr="00C348C1">
        <w:rPr>
          <w:rStyle w:val="z-label"/>
          <w:sz w:val="28"/>
          <w:szCs w:val="28"/>
        </w:rPr>
        <w:t>Порядок оподаткування доходів фізичних осіб регламентовано розділом IV Кодексу.</w:t>
      </w:r>
    </w:p>
    <w:p w:rsidR="00EE1410" w:rsidRPr="00C348C1" w:rsidRDefault="00EE1410" w:rsidP="00EE1410">
      <w:pPr>
        <w:pStyle w:val="11"/>
        <w:ind w:firstLine="567"/>
        <w:contextualSpacing/>
        <w:jc w:val="both"/>
        <w:rPr>
          <w:rStyle w:val="z-label"/>
          <w:sz w:val="28"/>
          <w:szCs w:val="28"/>
        </w:rPr>
      </w:pPr>
      <w:r w:rsidRPr="00C348C1">
        <w:rPr>
          <w:sz w:val="28"/>
          <w:szCs w:val="28"/>
        </w:rPr>
        <w:t>Пунктом</w:t>
      </w:r>
      <w:r w:rsidRPr="00C348C1">
        <w:rPr>
          <w:rStyle w:val="z-label"/>
          <w:sz w:val="28"/>
          <w:szCs w:val="28"/>
        </w:rPr>
        <w:t xml:space="preserve"> 162.1 ст. 162 Кодексу визначено, що платником податку, зокрема, є: </w:t>
      </w:r>
    </w:p>
    <w:p w:rsidR="00EE1410" w:rsidRPr="00C348C1" w:rsidRDefault="00EE1410" w:rsidP="00EE1410">
      <w:pPr>
        <w:pStyle w:val="11"/>
        <w:ind w:firstLine="567"/>
        <w:contextualSpacing/>
        <w:jc w:val="both"/>
        <w:rPr>
          <w:rStyle w:val="z-label"/>
          <w:sz w:val="28"/>
          <w:szCs w:val="28"/>
        </w:rPr>
      </w:pPr>
      <w:r w:rsidRPr="00C348C1">
        <w:rPr>
          <w:rStyle w:val="z-label"/>
          <w:sz w:val="28"/>
          <w:szCs w:val="28"/>
        </w:rPr>
        <w:t>фізична особа – резидент, яка отримує доходи з джерела їх походження в Україні (</w:t>
      </w:r>
      <w:proofErr w:type="spellStart"/>
      <w:r w:rsidRPr="00C348C1">
        <w:rPr>
          <w:rStyle w:val="z-label"/>
          <w:sz w:val="28"/>
          <w:szCs w:val="28"/>
        </w:rPr>
        <w:t>п.п</w:t>
      </w:r>
      <w:proofErr w:type="spellEnd"/>
      <w:r w:rsidRPr="00C348C1">
        <w:rPr>
          <w:rStyle w:val="z-label"/>
          <w:sz w:val="28"/>
          <w:szCs w:val="28"/>
        </w:rPr>
        <w:t xml:space="preserve">. 162.1.1 </w:t>
      </w:r>
      <w:r w:rsidRPr="00C348C1">
        <w:rPr>
          <w:sz w:val="28"/>
          <w:szCs w:val="28"/>
        </w:rPr>
        <w:t>п.</w:t>
      </w:r>
      <w:r w:rsidRPr="00C348C1">
        <w:rPr>
          <w:rStyle w:val="z-label"/>
          <w:sz w:val="28"/>
          <w:szCs w:val="28"/>
        </w:rPr>
        <w:t xml:space="preserve"> 162.1 ст. 162 Кодексу);</w:t>
      </w:r>
    </w:p>
    <w:p w:rsidR="00EE1410" w:rsidRPr="00C348C1" w:rsidRDefault="00EE1410" w:rsidP="00EE1410">
      <w:pPr>
        <w:pStyle w:val="11"/>
        <w:ind w:firstLine="567"/>
        <w:contextualSpacing/>
        <w:jc w:val="both"/>
        <w:rPr>
          <w:rStyle w:val="z-label"/>
          <w:sz w:val="28"/>
          <w:szCs w:val="28"/>
        </w:rPr>
      </w:pPr>
      <w:r w:rsidRPr="00C348C1">
        <w:rPr>
          <w:rStyle w:val="z-label"/>
          <w:sz w:val="28"/>
          <w:szCs w:val="28"/>
        </w:rPr>
        <w:t>податковий агент (</w:t>
      </w:r>
      <w:proofErr w:type="spellStart"/>
      <w:r w:rsidRPr="00C348C1">
        <w:rPr>
          <w:rStyle w:val="z-label"/>
          <w:sz w:val="28"/>
          <w:szCs w:val="28"/>
        </w:rPr>
        <w:t>п.п</w:t>
      </w:r>
      <w:proofErr w:type="spellEnd"/>
      <w:r w:rsidRPr="00C348C1">
        <w:rPr>
          <w:rStyle w:val="z-label"/>
          <w:sz w:val="28"/>
          <w:szCs w:val="28"/>
        </w:rPr>
        <w:t xml:space="preserve">. 162.1.3 </w:t>
      </w:r>
      <w:r w:rsidRPr="00C348C1">
        <w:rPr>
          <w:sz w:val="28"/>
          <w:szCs w:val="28"/>
        </w:rPr>
        <w:t>п.</w:t>
      </w:r>
      <w:r w:rsidRPr="00C348C1">
        <w:rPr>
          <w:rStyle w:val="z-label"/>
          <w:sz w:val="28"/>
          <w:szCs w:val="28"/>
        </w:rPr>
        <w:t xml:space="preserve"> 162.1 ст.162 Кодексу).</w:t>
      </w:r>
    </w:p>
    <w:p w:rsidR="00EE1410" w:rsidRPr="00C348C1" w:rsidRDefault="00EE1410" w:rsidP="00EE1410">
      <w:pPr>
        <w:pStyle w:val="11"/>
        <w:ind w:firstLine="567"/>
        <w:contextualSpacing/>
        <w:jc w:val="both"/>
        <w:rPr>
          <w:rStyle w:val="z-label"/>
          <w:sz w:val="28"/>
          <w:szCs w:val="28"/>
        </w:rPr>
      </w:pPr>
      <w:r w:rsidRPr="00C348C1">
        <w:rPr>
          <w:rStyle w:val="z-label"/>
          <w:sz w:val="28"/>
          <w:szCs w:val="28"/>
        </w:rPr>
        <w:t xml:space="preserve">Згідно з </w:t>
      </w:r>
      <w:proofErr w:type="spellStart"/>
      <w:r w:rsidRPr="00C348C1">
        <w:rPr>
          <w:rStyle w:val="z-label"/>
          <w:sz w:val="28"/>
          <w:szCs w:val="28"/>
        </w:rPr>
        <w:t>п.п</w:t>
      </w:r>
      <w:proofErr w:type="spellEnd"/>
      <w:r w:rsidRPr="00C348C1">
        <w:rPr>
          <w:rStyle w:val="z-label"/>
          <w:sz w:val="28"/>
          <w:szCs w:val="28"/>
        </w:rPr>
        <w:t xml:space="preserve">. 14.1.180 </w:t>
      </w:r>
      <w:r w:rsidRPr="00C348C1">
        <w:rPr>
          <w:sz w:val="28"/>
          <w:szCs w:val="28"/>
        </w:rPr>
        <w:t>п.</w:t>
      </w:r>
      <w:r w:rsidRPr="00C348C1">
        <w:rPr>
          <w:rStyle w:val="z-label"/>
          <w:sz w:val="28"/>
          <w:szCs w:val="28"/>
        </w:rPr>
        <w:t xml:space="preserve"> 14.1 ст. 14 Кодексу податковий агент щодо податку на доходи фізичних осіб – юридична особа (її філія, відділення, інший </w:t>
      </w:r>
      <w:r w:rsidRPr="00C348C1">
        <w:rPr>
          <w:rStyle w:val="z-label"/>
          <w:sz w:val="28"/>
          <w:szCs w:val="28"/>
        </w:rPr>
        <w:lastRenderedPageBreak/>
        <w:t xml:space="preserve">відокремлений підрозділ), самозайнята особа, представництво нерезидента – юридичної особи, інвестор (оператор) за угодою про розподіл продукції,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негрошовій формі) зобов’язані нараховувати, утримувати та сплачувати податок, передбачений розділом IV Кодексу, до бюджету від імені та за рахунок фізичної особи з доходів, що виплачуються такій особі, вести податковий облік, подавати податкову звітність контролюючим органам та нести відповідальність за порушення його норм в порядку, передбаченому </w:t>
      </w:r>
      <w:r w:rsidRPr="00C348C1">
        <w:rPr>
          <w:rStyle w:val="z-label"/>
          <w:sz w:val="28"/>
          <w:szCs w:val="28"/>
        </w:rPr>
        <w:br/>
        <w:t>ст. 18 та розділом IV Кодексу.</w:t>
      </w:r>
    </w:p>
    <w:p w:rsidR="00EE1410" w:rsidRPr="00C348C1" w:rsidRDefault="00EE1410" w:rsidP="00EE1410">
      <w:pPr>
        <w:pStyle w:val="11"/>
        <w:ind w:firstLine="567"/>
        <w:contextualSpacing/>
        <w:jc w:val="both"/>
        <w:rPr>
          <w:rStyle w:val="z-label"/>
          <w:sz w:val="28"/>
          <w:szCs w:val="28"/>
        </w:rPr>
      </w:pPr>
      <w:r w:rsidRPr="00C348C1">
        <w:rPr>
          <w:rStyle w:val="z-label"/>
          <w:sz w:val="28"/>
          <w:szCs w:val="28"/>
        </w:rPr>
        <w:t xml:space="preserve">Відповідно до </w:t>
      </w:r>
      <w:r w:rsidRPr="00C348C1">
        <w:rPr>
          <w:sz w:val="28"/>
          <w:szCs w:val="28"/>
        </w:rPr>
        <w:t>п.</w:t>
      </w:r>
      <w:r w:rsidRPr="00C348C1">
        <w:rPr>
          <w:rStyle w:val="z-label"/>
          <w:sz w:val="28"/>
          <w:szCs w:val="28"/>
        </w:rPr>
        <w:t xml:space="preserve"> 163.1 ст. 163 Кодексу об’єктом оподаткування резидента є загальний місячний (річний) оподатковуваний дохід.</w:t>
      </w:r>
    </w:p>
    <w:p w:rsidR="00EE1410" w:rsidRPr="00C348C1" w:rsidRDefault="00EE1410" w:rsidP="00EE1410">
      <w:pPr>
        <w:pStyle w:val="11"/>
        <w:ind w:firstLine="567"/>
        <w:contextualSpacing/>
        <w:jc w:val="both"/>
        <w:rPr>
          <w:rStyle w:val="z-label"/>
          <w:sz w:val="28"/>
          <w:szCs w:val="28"/>
        </w:rPr>
      </w:pPr>
      <w:r w:rsidRPr="00C348C1">
        <w:rPr>
          <w:rStyle w:val="z-label"/>
          <w:sz w:val="28"/>
          <w:szCs w:val="28"/>
        </w:rPr>
        <w:t>Крім цього, доходи, визначені ст. 163 Кодексу є об’єктом оподаткування військовим збором (</w:t>
      </w:r>
      <w:proofErr w:type="spellStart"/>
      <w:r w:rsidRPr="00C348C1">
        <w:rPr>
          <w:rStyle w:val="z-label"/>
          <w:sz w:val="28"/>
          <w:szCs w:val="28"/>
        </w:rPr>
        <w:t>п.п</w:t>
      </w:r>
      <w:proofErr w:type="spellEnd"/>
      <w:r w:rsidRPr="00C348C1">
        <w:rPr>
          <w:rStyle w:val="z-label"/>
          <w:sz w:val="28"/>
          <w:szCs w:val="28"/>
        </w:rPr>
        <w:t>. 1.2 п. 16</w:t>
      </w:r>
      <w:r w:rsidRPr="00C348C1">
        <w:rPr>
          <w:rStyle w:val="z-label"/>
          <w:sz w:val="28"/>
          <w:szCs w:val="28"/>
          <w:vertAlign w:val="superscript"/>
        </w:rPr>
        <w:t>1</w:t>
      </w:r>
      <w:r w:rsidRPr="00C348C1">
        <w:rPr>
          <w:rStyle w:val="z-label"/>
          <w:sz w:val="28"/>
          <w:szCs w:val="28"/>
        </w:rPr>
        <w:t xml:space="preserve"> підрозділу 10 розділу XX «Перехідні положення» Кодексу).</w:t>
      </w:r>
    </w:p>
    <w:p w:rsidR="00EE1410" w:rsidRPr="00C348C1" w:rsidRDefault="00EE1410" w:rsidP="00EE1410">
      <w:pPr>
        <w:pStyle w:val="11"/>
        <w:ind w:firstLine="567"/>
        <w:contextualSpacing/>
        <w:jc w:val="both"/>
        <w:rPr>
          <w:rStyle w:val="z-label"/>
          <w:sz w:val="28"/>
          <w:szCs w:val="28"/>
        </w:rPr>
      </w:pPr>
      <w:r>
        <w:rPr>
          <w:rStyle w:val="z-label"/>
          <w:sz w:val="28"/>
          <w:szCs w:val="28"/>
        </w:rPr>
        <w:t>З</w:t>
      </w:r>
      <w:r w:rsidRPr="00C348C1">
        <w:rPr>
          <w:rStyle w:val="z-label"/>
          <w:sz w:val="28"/>
          <w:szCs w:val="28"/>
        </w:rPr>
        <w:t xml:space="preserve">гідно з </w:t>
      </w:r>
      <w:proofErr w:type="spellStart"/>
      <w:r w:rsidRPr="00C348C1">
        <w:rPr>
          <w:rStyle w:val="z-label"/>
          <w:sz w:val="28"/>
          <w:szCs w:val="28"/>
        </w:rPr>
        <w:t>п.п</w:t>
      </w:r>
      <w:proofErr w:type="spellEnd"/>
      <w:r w:rsidRPr="00C348C1">
        <w:rPr>
          <w:rStyle w:val="z-label"/>
          <w:sz w:val="28"/>
          <w:szCs w:val="28"/>
        </w:rPr>
        <w:t xml:space="preserve">. 165.1.1 </w:t>
      </w:r>
      <w:r w:rsidRPr="00C348C1">
        <w:rPr>
          <w:sz w:val="28"/>
          <w:szCs w:val="28"/>
        </w:rPr>
        <w:t>п.</w:t>
      </w:r>
      <w:r w:rsidRPr="00C348C1">
        <w:rPr>
          <w:rStyle w:val="z-label"/>
          <w:sz w:val="28"/>
          <w:szCs w:val="28"/>
        </w:rPr>
        <w:t xml:space="preserve"> 165.1 ст. 165 Кодексу до загального місячного (річного) оподатковуваного доходу платника податку не включається сума державної та соціальної матеріальної допомоги, державної допомоги, компенсацій, вартість соціальних послуг та реабілітаційної допомоги (включаючи грошові компенсації особам з інвалідністю, на дітей з інвалідністю при реалізації 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страхування та у формі фінансової допомоги особам з інвалідністю з Фонду соціального захисту осіб з інвалідністю згідно із законом, указами Президента України та актами Кабінету Міністрів України, а також вартість соціальної допомоги в натуральній формі малозабезпеченим сім’ям, що отримана від надавачів соціальних послуг відповідно до Закону України «Про соціальні послуги», у тому числі (але не виключно) у випадках, які зазначені </w:t>
      </w:r>
      <w:r w:rsidRPr="00C348C1">
        <w:rPr>
          <w:rStyle w:val="z-label"/>
          <w:sz w:val="28"/>
          <w:szCs w:val="28"/>
        </w:rPr>
        <w:br/>
        <w:t>у цьому підпункті.</w:t>
      </w:r>
    </w:p>
    <w:p w:rsidR="00EE1410" w:rsidRPr="00C348C1" w:rsidRDefault="00EE1410" w:rsidP="00EE1410">
      <w:pPr>
        <w:pStyle w:val="11"/>
        <w:ind w:firstLine="567"/>
        <w:contextualSpacing/>
        <w:jc w:val="both"/>
        <w:rPr>
          <w:b/>
          <w:sz w:val="28"/>
          <w:szCs w:val="28"/>
        </w:rPr>
      </w:pPr>
      <w:r w:rsidRPr="00C348C1">
        <w:rPr>
          <w:sz w:val="28"/>
          <w:szCs w:val="28"/>
        </w:rPr>
        <w:t xml:space="preserve">Винятки, передбачені </w:t>
      </w:r>
      <w:proofErr w:type="spellStart"/>
      <w:r w:rsidRPr="00C348C1">
        <w:rPr>
          <w:sz w:val="28"/>
          <w:szCs w:val="28"/>
        </w:rPr>
        <w:t>п.п</w:t>
      </w:r>
      <w:proofErr w:type="spellEnd"/>
      <w:r w:rsidRPr="00C348C1">
        <w:rPr>
          <w:sz w:val="28"/>
          <w:szCs w:val="28"/>
        </w:rPr>
        <w:t>. 165.1.1 п. 165.1 ст. 165 Кодексу, не поширюються на виплату заробітної плати, грошової (вихідної) допомоги при виході на пенсію (у відставку) та виплату, пов'язану з тимчасовою втратою працездатності.</w:t>
      </w:r>
    </w:p>
    <w:p w:rsidR="00EE1410" w:rsidRPr="00C348C1" w:rsidRDefault="00EE1410" w:rsidP="00EE1410">
      <w:pPr>
        <w:pStyle w:val="11"/>
        <w:ind w:firstLine="567"/>
        <w:contextualSpacing/>
        <w:jc w:val="both"/>
        <w:rPr>
          <w:rStyle w:val="z-label"/>
          <w:sz w:val="28"/>
          <w:szCs w:val="28"/>
        </w:rPr>
      </w:pPr>
      <w:r w:rsidRPr="00C348C1">
        <w:rPr>
          <w:rStyle w:val="z-label"/>
          <w:sz w:val="28"/>
          <w:szCs w:val="28"/>
        </w:rPr>
        <w:t xml:space="preserve">Підпункт 168.1.1 </w:t>
      </w:r>
      <w:r w:rsidRPr="00C348C1">
        <w:rPr>
          <w:sz w:val="28"/>
          <w:szCs w:val="28"/>
        </w:rPr>
        <w:t>п.</w:t>
      </w:r>
      <w:r w:rsidRPr="00C348C1">
        <w:rPr>
          <w:rStyle w:val="z-label"/>
          <w:sz w:val="28"/>
          <w:szCs w:val="28"/>
        </w:rPr>
        <w:t xml:space="preserve"> 168.1 ст. 168 Кодексу передбачає, що податковий агент, який нараховує (виплачує, надає) оподатковуваний дохід на користь платника податку, зобов’язаний утримувати податок із суми такого доходу за його рахунок, використовуючи ставку податку, визначену в ст. 167 Кодексу, а також ставку військового збору 1,5 </w:t>
      </w:r>
      <w:proofErr w:type="spellStart"/>
      <w:r w:rsidRPr="00C348C1">
        <w:rPr>
          <w:rStyle w:val="z-label"/>
          <w:sz w:val="28"/>
          <w:szCs w:val="28"/>
        </w:rPr>
        <w:t>відс</w:t>
      </w:r>
      <w:proofErr w:type="spellEnd"/>
      <w:r w:rsidRPr="00C348C1">
        <w:rPr>
          <w:rStyle w:val="z-label"/>
          <w:sz w:val="28"/>
          <w:szCs w:val="28"/>
        </w:rPr>
        <w:t xml:space="preserve">., встановлену </w:t>
      </w:r>
      <w:proofErr w:type="spellStart"/>
      <w:r w:rsidRPr="00C348C1">
        <w:rPr>
          <w:rStyle w:val="z-label"/>
          <w:sz w:val="28"/>
          <w:szCs w:val="28"/>
        </w:rPr>
        <w:t>п.п</w:t>
      </w:r>
      <w:proofErr w:type="spellEnd"/>
      <w:r w:rsidRPr="00C348C1">
        <w:rPr>
          <w:rStyle w:val="z-label"/>
          <w:sz w:val="28"/>
          <w:szCs w:val="28"/>
        </w:rPr>
        <w:t>. 1.3 п. 16</w:t>
      </w:r>
      <w:r w:rsidRPr="00C348C1">
        <w:rPr>
          <w:rStyle w:val="z-label"/>
          <w:sz w:val="28"/>
          <w:szCs w:val="28"/>
          <w:vertAlign w:val="superscript"/>
        </w:rPr>
        <w:t>1</w:t>
      </w:r>
      <w:r w:rsidRPr="00C348C1">
        <w:rPr>
          <w:rStyle w:val="z-label"/>
          <w:sz w:val="28"/>
          <w:szCs w:val="28"/>
        </w:rPr>
        <w:t xml:space="preserve"> </w:t>
      </w:r>
      <w:r w:rsidRPr="00C348C1">
        <w:rPr>
          <w:rStyle w:val="z-label"/>
          <w:sz w:val="28"/>
          <w:szCs w:val="28"/>
        </w:rPr>
        <w:br/>
        <w:t>підрозділу 10 розділу ХХ «Перехідні положення» Кодексу.</w:t>
      </w:r>
    </w:p>
    <w:p w:rsidR="00664F6A" w:rsidRPr="00C348C1" w:rsidRDefault="00664F6A" w:rsidP="007A02BB">
      <w:pPr>
        <w:pStyle w:val="11"/>
        <w:ind w:firstLine="567"/>
        <w:contextualSpacing/>
        <w:jc w:val="both"/>
        <w:rPr>
          <w:spacing w:val="5"/>
          <w:sz w:val="28"/>
          <w:szCs w:val="28"/>
        </w:rPr>
      </w:pPr>
      <w:r w:rsidRPr="00C348C1">
        <w:rPr>
          <w:sz w:val="28"/>
          <w:szCs w:val="28"/>
        </w:rPr>
        <w:t xml:space="preserve">Таким чином, </w:t>
      </w:r>
      <w:r w:rsidRPr="00C348C1">
        <w:rPr>
          <w:spacing w:val="5"/>
          <w:sz w:val="28"/>
          <w:szCs w:val="28"/>
        </w:rPr>
        <w:t xml:space="preserve">самозайнята особа є щодо себе одночасно страхувальником і застрахованою особою, самостійно нараховує виплати, пов’язані з тимчасовою втратою працездатності, отримує фінансування на спеціальний рахунок і як податковий агент зобов’язана своєчасно та в </w:t>
      </w:r>
      <w:r w:rsidRPr="00C348C1">
        <w:rPr>
          <w:spacing w:val="5"/>
          <w:sz w:val="28"/>
          <w:szCs w:val="28"/>
        </w:rPr>
        <w:lastRenderedPageBreak/>
        <w:t>повному обсязі нараховувати, утримувати та сплачувати до бюджету податок на доходи ф</w:t>
      </w:r>
      <w:r w:rsidR="00512870">
        <w:rPr>
          <w:spacing w:val="5"/>
          <w:sz w:val="28"/>
          <w:szCs w:val="28"/>
        </w:rPr>
        <w:t xml:space="preserve">ізичних осіб, військовий збір та єдиний внесок. </w:t>
      </w:r>
    </w:p>
    <w:p w:rsidR="009F2C7F" w:rsidRPr="00C348C1" w:rsidRDefault="009F2C7F" w:rsidP="009F2C7F">
      <w:pPr>
        <w:ind w:firstLine="567"/>
        <w:jc w:val="both"/>
        <w:rPr>
          <w:sz w:val="28"/>
          <w:szCs w:val="28"/>
          <w:lang w:val="uk-UA"/>
        </w:rPr>
      </w:pPr>
      <w:proofErr w:type="spellStart"/>
      <w:proofErr w:type="gramStart"/>
      <w:r w:rsidRPr="00C348C1">
        <w:rPr>
          <w:sz w:val="28"/>
          <w:szCs w:val="28"/>
        </w:rPr>
        <w:t>Відповідно</w:t>
      </w:r>
      <w:proofErr w:type="spellEnd"/>
      <w:r w:rsidRPr="00C348C1">
        <w:rPr>
          <w:sz w:val="28"/>
          <w:szCs w:val="28"/>
        </w:rPr>
        <w:t xml:space="preserve"> до </w:t>
      </w:r>
      <w:proofErr w:type="spellStart"/>
      <w:r w:rsidRPr="00C348C1">
        <w:rPr>
          <w:sz w:val="28"/>
          <w:szCs w:val="28"/>
        </w:rPr>
        <w:t>п.п</w:t>
      </w:r>
      <w:proofErr w:type="spellEnd"/>
      <w:r w:rsidRPr="00C348C1">
        <w:rPr>
          <w:sz w:val="28"/>
          <w:szCs w:val="28"/>
        </w:rPr>
        <w:t xml:space="preserve">. «б» п. 176.2 ст. 176 Кодексу </w:t>
      </w:r>
      <w:proofErr w:type="spellStart"/>
      <w:r w:rsidRPr="00C348C1">
        <w:rPr>
          <w:sz w:val="28"/>
          <w:szCs w:val="28"/>
        </w:rPr>
        <w:t>передбачено</w:t>
      </w:r>
      <w:proofErr w:type="spellEnd"/>
      <w:r w:rsidRPr="00C348C1">
        <w:rPr>
          <w:sz w:val="28"/>
          <w:szCs w:val="28"/>
        </w:rPr>
        <w:t xml:space="preserve">, </w:t>
      </w:r>
      <w:proofErr w:type="spellStart"/>
      <w:r w:rsidRPr="00C348C1">
        <w:rPr>
          <w:sz w:val="28"/>
          <w:szCs w:val="28"/>
        </w:rPr>
        <w:t>що</w:t>
      </w:r>
      <w:proofErr w:type="spellEnd"/>
      <w:r w:rsidRPr="00C348C1">
        <w:rPr>
          <w:sz w:val="28"/>
          <w:szCs w:val="28"/>
        </w:rPr>
        <w:t xml:space="preserve"> особи, </w:t>
      </w:r>
      <w:proofErr w:type="spellStart"/>
      <w:r w:rsidRPr="00C348C1">
        <w:rPr>
          <w:sz w:val="28"/>
          <w:szCs w:val="28"/>
        </w:rPr>
        <w:t>які</w:t>
      </w:r>
      <w:proofErr w:type="spellEnd"/>
      <w:r w:rsidRPr="00C348C1">
        <w:rPr>
          <w:sz w:val="28"/>
          <w:szCs w:val="28"/>
        </w:rPr>
        <w:t xml:space="preserve"> </w:t>
      </w:r>
      <w:proofErr w:type="spellStart"/>
      <w:r w:rsidRPr="00C348C1">
        <w:rPr>
          <w:sz w:val="28"/>
          <w:szCs w:val="28"/>
        </w:rPr>
        <w:t>мають</w:t>
      </w:r>
      <w:proofErr w:type="spellEnd"/>
      <w:r w:rsidRPr="00C348C1">
        <w:rPr>
          <w:sz w:val="28"/>
          <w:szCs w:val="28"/>
        </w:rPr>
        <w:t xml:space="preserve"> статус </w:t>
      </w:r>
      <w:proofErr w:type="spellStart"/>
      <w:r w:rsidRPr="00C348C1">
        <w:rPr>
          <w:sz w:val="28"/>
          <w:szCs w:val="28"/>
        </w:rPr>
        <w:t>податкових</w:t>
      </w:r>
      <w:proofErr w:type="spellEnd"/>
      <w:r w:rsidRPr="00C348C1">
        <w:rPr>
          <w:sz w:val="28"/>
          <w:szCs w:val="28"/>
        </w:rPr>
        <w:t xml:space="preserve"> </w:t>
      </w:r>
      <w:proofErr w:type="spellStart"/>
      <w:r w:rsidRPr="00C348C1">
        <w:rPr>
          <w:sz w:val="28"/>
          <w:szCs w:val="28"/>
        </w:rPr>
        <w:t>агентів</w:t>
      </w:r>
      <w:proofErr w:type="spellEnd"/>
      <w:r w:rsidRPr="00C348C1">
        <w:rPr>
          <w:sz w:val="28"/>
          <w:szCs w:val="28"/>
        </w:rPr>
        <w:t xml:space="preserve">, та </w:t>
      </w:r>
      <w:proofErr w:type="spellStart"/>
      <w:r w:rsidRPr="00C348C1">
        <w:rPr>
          <w:sz w:val="28"/>
          <w:szCs w:val="28"/>
        </w:rPr>
        <w:t>платники</w:t>
      </w:r>
      <w:proofErr w:type="spellEnd"/>
      <w:r w:rsidRPr="00C348C1">
        <w:rPr>
          <w:sz w:val="28"/>
          <w:szCs w:val="28"/>
        </w:rPr>
        <w:t xml:space="preserve"> </w:t>
      </w:r>
      <w:proofErr w:type="spellStart"/>
      <w:r w:rsidRPr="00C348C1">
        <w:rPr>
          <w:sz w:val="28"/>
          <w:szCs w:val="28"/>
        </w:rPr>
        <w:t>єдиного</w:t>
      </w:r>
      <w:proofErr w:type="spellEnd"/>
      <w:r w:rsidRPr="00C348C1">
        <w:rPr>
          <w:sz w:val="28"/>
          <w:szCs w:val="28"/>
        </w:rPr>
        <w:t xml:space="preserve"> </w:t>
      </w:r>
      <w:proofErr w:type="spellStart"/>
      <w:r w:rsidRPr="00C348C1">
        <w:rPr>
          <w:sz w:val="28"/>
          <w:szCs w:val="28"/>
        </w:rPr>
        <w:t>внеску</w:t>
      </w:r>
      <w:proofErr w:type="spellEnd"/>
      <w:r w:rsidRPr="00C348C1">
        <w:rPr>
          <w:sz w:val="28"/>
          <w:szCs w:val="28"/>
        </w:rPr>
        <w:t xml:space="preserve">, </w:t>
      </w:r>
      <w:proofErr w:type="spellStart"/>
      <w:r w:rsidRPr="00C348C1">
        <w:rPr>
          <w:sz w:val="28"/>
          <w:szCs w:val="28"/>
        </w:rPr>
        <w:t>зобов'язані</w:t>
      </w:r>
      <w:proofErr w:type="spellEnd"/>
      <w:r w:rsidRPr="00C348C1">
        <w:rPr>
          <w:sz w:val="28"/>
          <w:szCs w:val="28"/>
        </w:rPr>
        <w:t xml:space="preserve"> </w:t>
      </w:r>
      <w:proofErr w:type="spellStart"/>
      <w:r w:rsidRPr="00C348C1">
        <w:rPr>
          <w:sz w:val="28"/>
          <w:szCs w:val="28"/>
        </w:rPr>
        <w:t>подавати</w:t>
      </w:r>
      <w:proofErr w:type="spellEnd"/>
      <w:r w:rsidRPr="00C348C1">
        <w:rPr>
          <w:sz w:val="28"/>
          <w:szCs w:val="28"/>
        </w:rPr>
        <w:t xml:space="preserve"> у строки, </w:t>
      </w:r>
      <w:proofErr w:type="spellStart"/>
      <w:r w:rsidRPr="00C348C1">
        <w:rPr>
          <w:sz w:val="28"/>
          <w:szCs w:val="28"/>
        </w:rPr>
        <w:t>встановлені</w:t>
      </w:r>
      <w:proofErr w:type="spellEnd"/>
      <w:r w:rsidRPr="00C348C1">
        <w:rPr>
          <w:sz w:val="28"/>
          <w:szCs w:val="28"/>
        </w:rPr>
        <w:t xml:space="preserve"> Кодексом для </w:t>
      </w:r>
      <w:proofErr w:type="spellStart"/>
      <w:r w:rsidRPr="00C348C1">
        <w:rPr>
          <w:sz w:val="28"/>
          <w:szCs w:val="28"/>
        </w:rPr>
        <w:t>податкового</w:t>
      </w:r>
      <w:proofErr w:type="spellEnd"/>
      <w:r w:rsidRPr="00C348C1">
        <w:rPr>
          <w:sz w:val="28"/>
          <w:szCs w:val="28"/>
        </w:rPr>
        <w:t xml:space="preserve"> кварталу, </w:t>
      </w:r>
      <w:proofErr w:type="spellStart"/>
      <w:r w:rsidRPr="00C348C1">
        <w:rPr>
          <w:sz w:val="28"/>
          <w:szCs w:val="28"/>
        </w:rPr>
        <w:t>податковий</w:t>
      </w:r>
      <w:proofErr w:type="spellEnd"/>
      <w:r w:rsidRPr="00C348C1">
        <w:rPr>
          <w:sz w:val="28"/>
          <w:szCs w:val="28"/>
        </w:rPr>
        <w:t xml:space="preserve"> </w:t>
      </w:r>
      <w:proofErr w:type="spellStart"/>
      <w:r w:rsidRPr="00C348C1">
        <w:rPr>
          <w:sz w:val="28"/>
          <w:szCs w:val="28"/>
        </w:rPr>
        <w:t>розрахунок</w:t>
      </w:r>
      <w:proofErr w:type="spellEnd"/>
      <w:r w:rsidRPr="00C348C1">
        <w:rPr>
          <w:sz w:val="28"/>
          <w:szCs w:val="28"/>
        </w:rPr>
        <w:t xml:space="preserve"> </w:t>
      </w:r>
      <w:proofErr w:type="spellStart"/>
      <w:r w:rsidRPr="00C348C1">
        <w:rPr>
          <w:sz w:val="28"/>
          <w:szCs w:val="28"/>
        </w:rPr>
        <w:t>сум</w:t>
      </w:r>
      <w:proofErr w:type="spellEnd"/>
      <w:r w:rsidRPr="00C348C1">
        <w:rPr>
          <w:sz w:val="28"/>
          <w:szCs w:val="28"/>
        </w:rPr>
        <w:t xml:space="preserve"> доходу, </w:t>
      </w:r>
      <w:proofErr w:type="spellStart"/>
      <w:r w:rsidRPr="00C348C1">
        <w:rPr>
          <w:sz w:val="28"/>
          <w:szCs w:val="28"/>
        </w:rPr>
        <w:t>нарахованого</w:t>
      </w:r>
      <w:proofErr w:type="spellEnd"/>
      <w:r w:rsidRPr="00C348C1">
        <w:rPr>
          <w:sz w:val="28"/>
          <w:szCs w:val="28"/>
        </w:rPr>
        <w:t xml:space="preserve"> (</w:t>
      </w:r>
      <w:proofErr w:type="spellStart"/>
      <w:r w:rsidRPr="00C348C1">
        <w:rPr>
          <w:sz w:val="28"/>
          <w:szCs w:val="28"/>
        </w:rPr>
        <w:t>сплаченого</w:t>
      </w:r>
      <w:proofErr w:type="spellEnd"/>
      <w:r w:rsidRPr="00C348C1">
        <w:rPr>
          <w:sz w:val="28"/>
          <w:szCs w:val="28"/>
        </w:rPr>
        <w:t xml:space="preserve">) на </w:t>
      </w:r>
      <w:proofErr w:type="spellStart"/>
      <w:r w:rsidRPr="00C348C1">
        <w:rPr>
          <w:sz w:val="28"/>
          <w:szCs w:val="28"/>
        </w:rPr>
        <w:t>користь</w:t>
      </w:r>
      <w:proofErr w:type="spellEnd"/>
      <w:r w:rsidRPr="00C348C1">
        <w:rPr>
          <w:sz w:val="28"/>
          <w:szCs w:val="28"/>
        </w:rPr>
        <w:t xml:space="preserve"> </w:t>
      </w:r>
      <w:proofErr w:type="spellStart"/>
      <w:r w:rsidRPr="00C348C1">
        <w:rPr>
          <w:sz w:val="28"/>
          <w:szCs w:val="28"/>
        </w:rPr>
        <w:t>платників</w:t>
      </w:r>
      <w:proofErr w:type="spellEnd"/>
      <w:r w:rsidRPr="00C348C1">
        <w:rPr>
          <w:sz w:val="28"/>
          <w:szCs w:val="28"/>
        </w:rPr>
        <w:t xml:space="preserve"> </w:t>
      </w:r>
      <w:proofErr w:type="spellStart"/>
      <w:r w:rsidRPr="00C348C1">
        <w:rPr>
          <w:sz w:val="28"/>
          <w:szCs w:val="28"/>
        </w:rPr>
        <w:t>податків</w:t>
      </w:r>
      <w:proofErr w:type="spellEnd"/>
      <w:r w:rsidRPr="00C348C1">
        <w:rPr>
          <w:sz w:val="28"/>
          <w:szCs w:val="28"/>
        </w:rPr>
        <w:t xml:space="preserve"> – </w:t>
      </w:r>
      <w:proofErr w:type="spellStart"/>
      <w:r w:rsidRPr="00C348C1">
        <w:rPr>
          <w:sz w:val="28"/>
          <w:szCs w:val="28"/>
        </w:rPr>
        <w:t>фізичних</w:t>
      </w:r>
      <w:proofErr w:type="spellEnd"/>
      <w:r w:rsidRPr="00C348C1">
        <w:rPr>
          <w:sz w:val="28"/>
          <w:szCs w:val="28"/>
        </w:rPr>
        <w:t xml:space="preserve"> </w:t>
      </w:r>
      <w:proofErr w:type="spellStart"/>
      <w:r w:rsidRPr="00C348C1">
        <w:rPr>
          <w:sz w:val="28"/>
          <w:szCs w:val="28"/>
        </w:rPr>
        <w:t>осіб</w:t>
      </w:r>
      <w:proofErr w:type="spellEnd"/>
      <w:r w:rsidRPr="00C348C1">
        <w:rPr>
          <w:sz w:val="28"/>
          <w:szCs w:val="28"/>
        </w:rPr>
        <w:t xml:space="preserve">, і </w:t>
      </w:r>
      <w:proofErr w:type="spellStart"/>
      <w:r w:rsidRPr="00C348C1">
        <w:rPr>
          <w:sz w:val="28"/>
          <w:szCs w:val="28"/>
        </w:rPr>
        <w:t>сум</w:t>
      </w:r>
      <w:proofErr w:type="spellEnd"/>
      <w:r w:rsidRPr="00C348C1">
        <w:rPr>
          <w:sz w:val="28"/>
          <w:szCs w:val="28"/>
        </w:rPr>
        <w:t xml:space="preserve"> </w:t>
      </w:r>
      <w:proofErr w:type="spellStart"/>
      <w:r w:rsidRPr="00C348C1">
        <w:rPr>
          <w:sz w:val="28"/>
          <w:szCs w:val="28"/>
        </w:rPr>
        <w:t>утриманого</w:t>
      </w:r>
      <w:proofErr w:type="spellEnd"/>
      <w:r w:rsidRPr="00C348C1">
        <w:rPr>
          <w:sz w:val="28"/>
          <w:szCs w:val="28"/>
        </w:rPr>
        <w:t xml:space="preserve"> з них </w:t>
      </w:r>
      <w:proofErr w:type="spellStart"/>
      <w:r w:rsidRPr="00C348C1">
        <w:rPr>
          <w:sz w:val="28"/>
          <w:szCs w:val="28"/>
        </w:rPr>
        <w:t>податку</w:t>
      </w:r>
      <w:proofErr w:type="spellEnd"/>
      <w:r w:rsidRPr="00C348C1">
        <w:rPr>
          <w:sz w:val="28"/>
          <w:szCs w:val="28"/>
        </w:rPr>
        <w:t xml:space="preserve">, а </w:t>
      </w:r>
      <w:proofErr w:type="spellStart"/>
      <w:r w:rsidRPr="00C348C1">
        <w:rPr>
          <w:sz w:val="28"/>
          <w:szCs w:val="28"/>
        </w:rPr>
        <w:t>також</w:t>
      </w:r>
      <w:proofErr w:type="spellEnd"/>
      <w:r w:rsidRPr="00C348C1">
        <w:rPr>
          <w:sz w:val="28"/>
          <w:szCs w:val="28"/>
        </w:rPr>
        <w:t xml:space="preserve"> </w:t>
      </w:r>
      <w:proofErr w:type="spellStart"/>
      <w:r w:rsidRPr="00C348C1">
        <w:rPr>
          <w:sz w:val="28"/>
          <w:szCs w:val="28"/>
        </w:rPr>
        <w:t>сум</w:t>
      </w:r>
      <w:proofErr w:type="spellEnd"/>
      <w:r w:rsidRPr="00C348C1">
        <w:rPr>
          <w:sz w:val="28"/>
          <w:szCs w:val="28"/>
        </w:rPr>
        <w:t xml:space="preserve"> </w:t>
      </w:r>
      <w:proofErr w:type="spellStart"/>
      <w:r w:rsidRPr="00C348C1">
        <w:rPr>
          <w:sz w:val="28"/>
          <w:szCs w:val="28"/>
        </w:rPr>
        <w:t>нарахованого</w:t>
      </w:r>
      <w:proofErr w:type="spellEnd"/>
      <w:proofErr w:type="gramEnd"/>
      <w:r w:rsidRPr="00C348C1">
        <w:rPr>
          <w:sz w:val="28"/>
          <w:szCs w:val="28"/>
        </w:rPr>
        <w:t xml:space="preserve"> </w:t>
      </w:r>
      <w:proofErr w:type="spellStart"/>
      <w:r w:rsidRPr="00C348C1">
        <w:rPr>
          <w:sz w:val="28"/>
          <w:szCs w:val="28"/>
        </w:rPr>
        <w:t>єдиного</w:t>
      </w:r>
      <w:proofErr w:type="spellEnd"/>
      <w:r w:rsidRPr="00C348C1">
        <w:rPr>
          <w:sz w:val="28"/>
          <w:szCs w:val="28"/>
        </w:rPr>
        <w:t xml:space="preserve"> </w:t>
      </w:r>
      <w:proofErr w:type="spellStart"/>
      <w:r w:rsidRPr="00C348C1">
        <w:rPr>
          <w:sz w:val="28"/>
          <w:szCs w:val="28"/>
        </w:rPr>
        <w:t>внеску</w:t>
      </w:r>
      <w:proofErr w:type="spellEnd"/>
      <w:r w:rsidRPr="00C348C1">
        <w:rPr>
          <w:sz w:val="28"/>
          <w:szCs w:val="28"/>
        </w:rPr>
        <w:t xml:space="preserve"> (з </w:t>
      </w:r>
      <w:proofErr w:type="spellStart"/>
      <w:r w:rsidRPr="00C348C1">
        <w:rPr>
          <w:sz w:val="28"/>
          <w:szCs w:val="28"/>
        </w:rPr>
        <w:t>розбивкою</w:t>
      </w:r>
      <w:proofErr w:type="spellEnd"/>
      <w:r w:rsidRPr="00C348C1">
        <w:rPr>
          <w:sz w:val="28"/>
          <w:szCs w:val="28"/>
        </w:rPr>
        <w:t xml:space="preserve"> по </w:t>
      </w:r>
      <w:proofErr w:type="spellStart"/>
      <w:r w:rsidRPr="00C348C1">
        <w:rPr>
          <w:sz w:val="28"/>
          <w:szCs w:val="28"/>
        </w:rPr>
        <w:t>місяцях</w:t>
      </w:r>
      <w:proofErr w:type="spellEnd"/>
      <w:r w:rsidRPr="00C348C1">
        <w:rPr>
          <w:sz w:val="28"/>
          <w:szCs w:val="28"/>
        </w:rPr>
        <w:t xml:space="preserve"> </w:t>
      </w:r>
      <w:proofErr w:type="spellStart"/>
      <w:r w:rsidRPr="00C348C1">
        <w:rPr>
          <w:sz w:val="28"/>
          <w:szCs w:val="28"/>
        </w:rPr>
        <w:t>звітного</w:t>
      </w:r>
      <w:proofErr w:type="spellEnd"/>
      <w:r w:rsidRPr="00C348C1">
        <w:rPr>
          <w:sz w:val="28"/>
          <w:szCs w:val="28"/>
        </w:rPr>
        <w:t xml:space="preserve"> кварталу), до </w:t>
      </w:r>
      <w:proofErr w:type="spellStart"/>
      <w:r w:rsidRPr="00C348C1">
        <w:rPr>
          <w:sz w:val="28"/>
          <w:szCs w:val="28"/>
        </w:rPr>
        <w:t>контролюючого</w:t>
      </w:r>
      <w:proofErr w:type="spellEnd"/>
      <w:r w:rsidRPr="00C348C1">
        <w:rPr>
          <w:sz w:val="28"/>
          <w:szCs w:val="28"/>
        </w:rPr>
        <w:t xml:space="preserve"> органу за </w:t>
      </w:r>
      <w:proofErr w:type="spellStart"/>
      <w:r w:rsidRPr="00C348C1">
        <w:rPr>
          <w:sz w:val="28"/>
          <w:szCs w:val="28"/>
        </w:rPr>
        <w:t>основним</w:t>
      </w:r>
      <w:proofErr w:type="spellEnd"/>
      <w:r w:rsidRPr="00C348C1">
        <w:rPr>
          <w:sz w:val="28"/>
          <w:szCs w:val="28"/>
        </w:rPr>
        <w:t xml:space="preserve"> </w:t>
      </w:r>
      <w:proofErr w:type="spellStart"/>
      <w:r w:rsidRPr="00C348C1">
        <w:rPr>
          <w:sz w:val="28"/>
          <w:szCs w:val="28"/>
        </w:rPr>
        <w:t>місцем</w:t>
      </w:r>
      <w:proofErr w:type="spellEnd"/>
      <w:r w:rsidRPr="00C348C1">
        <w:rPr>
          <w:sz w:val="28"/>
          <w:szCs w:val="28"/>
        </w:rPr>
        <w:t xml:space="preserve"> </w:t>
      </w:r>
      <w:proofErr w:type="spellStart"/>
      <w:proofErr w:type="gramStart"/>
      <w:r w:rsidRPr="00C348C1">
        <w:rPr>
          <w:sz w:val="28"/>
          <w:szCs w:val="28"/>
        </w:rPr>
        <w:t>обл</w:t>
      </w:r>
      <w:proofErr w:type="gramEnd"/>
      <w:r w:rsidRPr="00C348C1">
        <w:rPr>
          <w:sz w:val="28"/>
          <w:szCs w:val="28"/>
        </w:rPr>
        <w:t>іку</w:t>
      </w:r>
      <w:proofErr w:type="spellEnd"/>
      <w:r w:rsidRPr="00C348C1">
        <w:rPr>
          <w:sz w:val="28"/>
          <w:szCs w:val="28"/>
        </w:rPr>
        <w:t>.</w:t>
      </w:r>
    </w:p>
    <w:p w:rsidR="00AA2750" w:rsidRPr="00C348C1" w:rsidRDefault="00AA2750" w:rsidP="007A02BB">
      <w:pPr>
        <w:pStyle w:val="11"/>
        <w:ind w:firstLine="567"/>
        <w:contextualSpacing/>
        <w:jc w:val="both"/>
        <w:rPr>
          <w:sz w:val="28"/>
          <w:szCs w:val="28"/>
        </w:rPr>
      </w:pPr>
      <w:r w:rsidRPr="00C348C1">
        <w:rPr>
          <w:sz w:val="28"/>
          <w:szCs w:val="28"/>
        </w:rPr>
        <w:t>Отже</w:t>
      </w:r>
      <w:r w:rsidR="00664F6A" w:rsidRPr="00C348C1">
        <w:rPr>
          <w:sz w:val="28"/>
          <w:szCs w:val="28"/>
        </w:rPr>
        <w:t xml:space="preserve"> у </w:t>
      </w:r>
      <w:proofErr w:type="spellStart"/>
      <w:r w:rsidR="00664F6A" w:rsidRPr="00C348C1">
        <w:rPr>
          <w:sz w:val="28"/>
          <w:szCs w:val="28"/>
        </w:rPr>
        <w:t>с</w:t>
      </w:r>
      <w:r w:rsidR="00664F6A" w:rsidRPr="00C348C1">
        <w:rPr>
          <w:spacing w:val="5"/>
          <w:sz w:val="28"/>
          <w:szCs w:val="28"/>
        </w:rPr>
        <w:t>амозайнятої</w:t>
      </w:r>
      <w:proofErr w:type="spellEnd"/>
      <w:r w:rsidR="00664F6A" w:rsidRPr="00C348C1">
        <w:rPr>
          <w:spacing w:val="5"/>
          <w:sz w:val="28"/>
          <w:szCs w:val="28"/>
        </w:rPr>
        <w:t xml:space="preserve"> особи як податкового агента щодо </w:t>
      </w:r>
      <w:r w:rsidR="00664F6A" w:rsidRPr="00C348C1">
        <w:rPr>
          <w:sz w:val="28"/>
          <w:szCs w:val="28"/>
        </w:rPr>
        <w:t>доходу у вигляді допомоги по тимчасовій непрацездатності, відповідно до п. 51.1 ст. 51 Кодексу виникає обов’язок подавати контролюючому органу у строки, встановлені Кодексом для податкового кварталу,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податковий розрахунок), з розбивкою по місяцях звітного кварталу.</w:t>
      </w:r>
    </w:p>
    <w:p w:rsidR="00AA2750" w:rsidRPr="00C348C1" w:rsidRDefault="00AA2750" w:rsidP="007A02BB">
      <w:pPr>
        <w:pStyle w:val="11"/>
        <w:ind w:firstLine="567"/>
        <w:contextualSpacing/>
        <w:jc w:val="both"/>
        <w:rPr>
          <w:bCs/>
          <w:sz w:val="28"/>
          <w:szCs w:val="28"/>
        </w:rPr>
      </w:pPr>
      <w:r w:rsidRPr="00C348C1">
        <w:rPr>
          <w:sz w:val="28"/>
          <w:szCs w:val="28"/>
        </w:rPr>
        <w:t>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Порядок) затверджено наказом Міністерства</w:t>
      </w:r>
      <w:r w:rsidR="00EE1410">
        <w:rPr>
          <w:sz w:val="28"/>
          <w:szCs w:val="28"/>
        </w:rPr>
        <w:t xml:space="preserve"> </w:t>
      </w:r>
      <w:r w:rsidRPr="00C348C1">
        <w:rPr>
          <w:sz w:val="28"/>
          <w:szCs w:val="28"/>
        </w:rPr>
        <w:t>фінансів</w:t>
      </w:r>
      <w:r w:rsidR="00EE1410">
        <w:rPr>
          <w:sz w:val="28"/>
          <w:szCs w:val="28"/>
        </w:rPr>
        <w:t xml:space="preserve"> </w:t>
      </w:r>
      <w:r w:rsidRPr="00C348C1">
        <w:rPr>
          <w:sz w:val="28"/>
          <w:szCs w:val="28"/>
        </w:rPr>
        <w:t xml:space="preserve">України від 13.01.2015 № 4, </w:t>
      </w:r>
      <w:r w:rsidRPr="00C348C1">
        <w:rPr>
          <w:bCs/>
          <w:sz w:val="28"/>
          <w:szCs w:val="28"/>
        </w:rPr>
        <w:t>зі змінами.</w:t>
      </w:r>
    </w:p>
    <w:p w:rsidR="00EA4B66" w:rsidRPr="00C348C1" w:rsidRDefault="00EA4B66" w:rsidP="00EA4B66">
      <w:pPr>
        <w:pStyle w:val="11"/>
        <w:ind w:firstLine="567"/>
        <w:contextualSpacing/>
        <w:jc w:val="both"/>
        <w:rPr>
          <w:sz w:val="28"/>
          <w:szCs w:val="28"/>
        </w:rPr>
      </w:pPr>
      <w:r w:rsidRPr="00C348C1">
        <w:rPr>
          <w:bCs/>
          <w:sz w:val="28"/>
          <w:szCs w:val="28"/>
        </w:rPr>
        <w:t>Згідно із Довідником ознак доходів фізичних осіб, наведеним у додатку 2 до Порядку, в податковому розрахунку самозайнята особа відображає нараховану та виплачену суму такого доходу за ознакою «127», а також суми нарахованого та перерахованого податку на доходи фізичних осіб і військового збору.</w:t>
      </w:r>
    </w:p>
    <w:p w:rsidR="009F2C7F" w:rsidRPr="00C348C1" w:rsidRDefault="009F2C7F" w:rsidP="009F2C7F">
      <w:pPr>
        <w:ind w:firstLine="567"/>
        <w:jc w:val="both"/>
        <w:rPr>
          <w:sz w:val="28"/>
          <w:szCs w:val="28"/>
          <w:lang w:val="uk-UA"/>
        </w:rPr>
      </w:pPr>
      <w:r w:rsidRPr="00C348C1">
        <w:rPr>
          <w:sz w:val="28"/>
          <w:szCs w:val="28"/>
        </w:rPr>
        <w:t xml:space="preserve">Разом з </w:t>
      </w:r>
      <w:proofErr w:type="spellStart"/>
      <w:r w:rsidRPr="00C348C1">
        <w:rPr>
          <w:sz w:val="28"/>
          <w:szCs w:val="28"/>
        </w:rPr>
        <w:t>цим</w:t>
      </w:r>
      <w:proofErr w:type="spellEnd"/>
      <w:r w:rsidRPr="00C348C1">
        <w:rPr>
          <w:sz w:val="28"/>
          <w:szCs w:val="28"/>
        </w:rPr>
        <w:t xml:space="preserve"> </w:t>
      </w:r>
      <w:proofErr w:type="spellStart"/>
      <w:r w:rsidRPr="00C348C1">
        <w:rPr>
          <w:sz w:val="28"/>
          <w:szCs w:val="28"/>
        </w:rPr>
        <w:t>зауважуємо</w:t>
      </w:r>
      <w:proofErr w:type="spellEnd"/>
      <w:r w:rsidRPr="00C348C1">
        <w:rPr>
          <w:sz w:val="28"/>
          <w:szCs w:val="28"/>
        </w:rPr>
        <w:t xml:space="preserve">, </w:t>
      </w:r>
      <w:proofErr w:type="spellStart"/>
      <w:r w:rsidRPr="00C348C1">
        <w:rPr>
          <w:sz w:val="28"/>
          <w:szCs w:val="28"/>
        </w:rPr>
        <w:t>що</w:t>
      </w:r>
      <w:proofErr w:type="spellEnd"/>
      <w:r w:rsidRPr="00C348C1">
        <w:rPr>
          <w:sz w:val="28"/>
          <w:szCs w:val="28"/>
        </w:rPr>
        <w:t xml:space="preserve"> </w:t>
      </w:r>
      <w:proofErr w:type="spellStart"/>
      <w:r w:rsidRPr="00C348C1">
        <w:rPr>
          <w:sz w:val="28"/>
          <w:szCs w:val="28"/>
        </w:rPr>
        <w:t>зазначена</w:t>
      </w:r>
      <w:proofErr w:type="spellEnd"/>
      <w:r w:rsidRPr="00C348C1">
        <w:rPr>
          <w:sz w:val="28"/>
          <w:szCs w:val="28"/>
        </w:rPr>
        <w:t xml:space="preserve"> </w:t>
      </w:r>
      <w:proofErr w:type="spellStart"/>
      <w:r w:rsidRPr="00C348C1">
        <w:rPr>
          <w:sz w:val="28"/>
          <w:szCs w:val="28"/>
        </w:rPr>
        <w:t>позиція</w:t>
      </w:r>
      <w:proofErr w:type="spellEnd"/>
      <w:r w:rsidRPr="00C348C1">
        <w:rPr>
          <w:sz w:val="28"/>
          <w:szCs w:val="28"/>
        </w:rPr>
        <w:t xml:space="preserve"> </w:t>
      </w:r>
      <w:proofErr w:type="spellStart"/>
      <w:r w:rsidRPr="00C348C1">
        <w:rPr>
          <w:sz w:val="28"/>
          <w:szCs w:val="28"/>
        </w:rPr>
        <w:t>погоджена</w:t>
      </w:r>
      <w:proofErr w:type="spellEnd"/>
      <w:r w:rsidRPr="00C348C1">
        <w:rPr>
          <w:sz w:val="28"/>
          <w:szCs w:val="28"/>
        </w:rPr>
        <w:t xml:space="preserve"> </w:t>
      </w:r>
      <w:proofErr w:type="spellStart"/>
      <w:r w:rsidRPr="00C348C1">
        <w:rPr>
          <w:sz w:val="28"/>
          <w:szCs w:val="28"/>
        </w:rPr>
        <w:t>Міністерств</w:t>
      </w:r>
      <w:r w:rsidRPr="00C348C1">
        <w:rPr>
          <w:sz w:val="28"/>
          <w:szCs w:val="28"/>
          <w:lang w:val="uk-UA"/>
        </w:rPr>
        <w:t>ом</w:t>
      </w:r>
      <w:proofErr w:type="spellEnd"/>
      <w:r w:rsidRPr="00C348C1">
        <w:rPr>
          <w:sz w:val="28"/>
          <w:szCs w:val="28"/>
        </w:rPr>
        <w:t xml:space="preserve"> </w:t>
      </w:r>
      <w:proofErr w:type="spellStart"/>
      <w:r w:rsidRPr="00C348C1">
        <w:rPr>
          <w:sz w:val="28"/>
          <w:szCs w:val="28"/>
        </w:rPr>
        <w:t>фінансів</w:t>
      </w:r>
      <w:proofErr w:type="spellEnd"/>
      <w:r w:rsidRPr="00C348C1">
        <w:rPr>
          <w:sz w:val="28"/>
          <w:szCs w:val="28"/>
        </w:rPr>
        <w:t xml:space="preserve"> </w:t>
      </w:r>
      <w:proofErr w:type="spellStart"/>
      <w:r w:rsidRPr="00C348C1">
        <w:rPr>
          <w:sz w:val="28"/>
          <w:szCs w:val="28"/>
        </w:rPr>
        <w:t>України</w:t>
      </w:r>
      <w:proofErr w:type="spellEnd"/>
      <w:r w:rsidRPr="00C348C1">
        <w:rPr>
          <w:sz w:val="28"/>
          <w:szCs w:val="28"/>
        </w:rPr>
        <w:t>.</w:t>
      </w:r>
    </w:p>
    <w:p w:rsidR="0090716A" w:rsidRPr="00C348C1" w:rsidRDefault="0090716A" w:rsidP="007A02BB">
      <w:pPr>
        <w:pStyle w:val="11"/>
        <w:ind w:firstLine="567"/>
        <w:contextualSpacing/>
        <w:jc w:val="both"/>
        <w:rPr>
          <w:rFonts w:eastAsia="Calibri"/>
          <w:sz w:val="28"/>
          <w:szCs w:val="28"/>
        </w:rPr>
      </w:pPr>
      <w:r w:rsidRPr="00C348C1">
        <w:rPr>
          <w:rFonts w:eastAsia="Calibri"/>
          <w:sz w:val="28"/>
          <w:szCs w:val="28"/>
        </w:rPr>
        <w:t xml:space="preserve">Зауважуємо, що тимчасово, на період дії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C348C1">
        <w:rPr>
          <w:rFonts w:eastAsia="Calibri"/>
          <w:sz w:val="28"/>
          <w:szCs w:val="28"/>
        </w:rPr>
        <w:t>коронавірусної</w:t>
      </w:r>
      <w:proofErr w:type="spellEnd"/>
      <w:r w:rsidRPr="00C348C1">
        <w:rPr>
          <w:rFonts w:eastAsia="Calibri"/>
          <w:sz w:val="28"/>
          <w:szCs w:val="28"/>
        </w:rPr>
        <w:t xml:space="preserve"> хвороби (COVID-19) відповідно до п. 52</w:t>
      </w:r>
      <w:r w:rsidRPr="00C348C1">
        <w:rPr>
          <w:rFonts w:eastAsia="Calibri"/>
          <w:sz w:val="28"/>
          <w:szCs w:val="28"/>
          <w:vertAlign w:val="superscript"/>
        </w:rPr>
        <w:t xml:space="preserve">8 </w:t>
      </w:r>
      <w:r w:rsidRPr="00C348C1">
        <w:rPr>
          <w:rFonts w:eastAsia="Calibri"/>
          <w:sz w:val="28"/>
          <w:szCs w:val="28"/>
        </w:rPr>
        <w:t>підрозділу 10 розділу XX «Перехідні положення» Кодексу було зупинено перебіг строків, встановлених, зокрема, ст.ст. 52 і 53 Кодексу щодо надання контролюючим органами індивідуальних податкових консультацій в письмовій формі.</w:t>
      </w:r>
    </w:p>
    <w:p w:rsidR="0090716A" w:rsidRPr="00C348C1" w:rsidRDefault="0090716A" w:rsidP="007A02BB">
      <w:pPr>
        <w:pStyle w:val="11"/>
        <w:ind w:firstLine="567"/>
        <w:contextualSpacing/>
        <w:jc w:val="both"/>
        <w:rPr>
          <w:rFonts w:eastAsia="Calibri"/>
          <w:sz w:val="28"/>
          <w:szCs w:val="28"/>
        </w:rPr>
      </w:pPr>
      <w:r w:rsidRPr="00C348C1">
        <w:rPr>
          <w:rFonts w:eastAsia="Calibri"/>
          <w:sz w:val="28"/>
          <w:szCs w:val="28"/>
        </w:rPr>
        <w:t xml:space="preserve">Крім того, згідно з </w:t>
      </w:r>
      <w:proofErr w:type="spellStart"/>
      <w:r w:rsidRPr="00C348C1">
        <w:rPr>
          <w:rFonts w:eastAsia="Calibri"/>
          <w:sz w:val="28"/>
          <w:szCs w:val="28"/>
        </w:rPr>
        <w:t>п.п</w:t>
      </w:r>
      <w:proofErr w:type="spellEnd"/>
      <w:r w:rsidRPr="00C348C1">
        <w:rPr>
          <w:rFonts w:eastAsia="Calibri"/>
          <w:sz w:val="28"/>
          <w:szCs w:val="28"/>
        </w:rPr>
        <w:t>. 69.9 п. 69 підрозділу 10 розділу XX «Перехідні положення» Кодексу, тимчасово, до 1 серпня 2023 року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 крім випадків, передбачених зазначеним підпунктом Кодексу.</w:t>
      </w:r>
    </w:p>
    <w:p w:rsidR="0090716A" w:rsidRPr="00C348C1" w:rsidRDefault="0090716A" w:rsidP="007A02BB">
      <w:pPr>
        <w:pStyle w:val="11"/>
        <w:ind w:firstLine="567"/>
        <w:contextualSpacing/>
        <w:jc w:val="both"/>
        <w:rPr>
          <w:rFonts w:eastAsia="Calibri"/>
          <w:sz w:val="28"/>
          <w:szCs w:val="28"/>
        </w:rPr>
      </w:pPr>
      <w:r w:rsidRPr="00C348C1">
        <w:rPr>
          <w:rFonts w:eastAsia="Calibri"/>
          <w:sz w:val="28"/>
          <w:szCs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7809EF" w:rsidRPr="00BB1FFB" w:rsidRDefault="007809EF" w:rsidP="00EE217D">
      <w:pPr>
        <w:pStyle w:val="a3"/>
        <w:spacing w:before="0" w:beforeAutospacing="0" w:after="0" w:afterAutospacing="0"/>
        <w:jc w:val="both"/>
        <w:rPr>
          <w:sz w:val="16"/>
          <w:szCs w:val="16"/>
          <w:lang w:val="en-US"/>
        </w:rPr>
      </w:pPr>
      <w:bookmarkStart w:id="0" w:name="_GoBack"/>
      <w:bookmarkEnd w:id="0"/>
    </w:p>
    <w:sectPr w:rsidR="007809EF" w:rsidRPr="00BB1FFB" w:rsidSect="0090716A">
      <w:headerReference w:type="even" r:id="rId9"/>
      <w:headerReference w:type="default" r:id="rId10"/>
      <w:pgSz w:w="11906" w:h="16838"/>
      <w:pgMar w:top="956" w:right="707" w:bottom="1418" w:left="1560"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904" w:rsidRDefault="003A6904">
      <w:r>
        <w:separator/>
      </w:r>
    </w:p>
  </w:endnote>
  <w:endnote w:type="continuationSeparator" w:id="0">
    <w:p w:rsidR="003A6904" w:rsidRDefault="003A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904" w:rsidRDefault="003A6904">
      <w:r>
        <w:separator/>
      </w:r>
    </w:p>
  </w:footnote>
  <w:footnote w:type="continuationSeparator" w:id="0">
    <w:p w:rsidR="003A6904" w:rsidRDefault="003A6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D5" w:rsidRDefault="00FF669B" w:rsidP="004335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335D5" w:rsidRDefault="004335D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D5" w:rsidRDefault="00FF669B" w:rsidP="004335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1FFB">
      <w:rPr>
        <w:rStyle w:val="a7"/>
        <w:noProof/>
      </w:rPr>
      <w:t>5</w:t>
    </w:r>
    <w:r>
      <w:rPr>
        <w:rStyle w:val="a7"/>
      </w:rPr>
      <w:fldChar w:fldCharType="end"/>
    </w:r>
  </w:p>
  <w:p w:rsidR="004335D5" w:rsidRDefault="004335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114B"/>
    <w:multiLevelType w:val="hybridMultilevel"/>
    <w:tmpl w:val="E42AB5C0"/>
    <w:lvl w:ilvl="0" w:tplc="D8E205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99D32ED"/>
    <w:multiLevelType w:val="hybridMultilevel"/>
    <w:tmpl w:val="E33AB7B2"/>
    <w:lvl w:ilvl="0" w:tplc="DE5AC6EC">
      <w:start w:val="1"/>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40AC59E8"/>
    <w:multiLevelType w:val="hybridMultilevel"/>
    <w:tmpl w:val="8BB2950E"/>
    <w:lvl w:ilvl="0" w:tplc="38429BD4">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3">
    <w:nsid w:val="44721A2A"/>
    <w:multiLevelType w:val="hybridMultilevel"/>
    <w:tmpl w:val="820C7082"/>
    <w:lvl w:ilvl="0" w:tplc="27E6075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5F910835"/>
    <w:multiLevelType w:val="hybridMultilevel"/>
    <w:tmpl w:val="E9342640"/>
    <w:lvl w:ilvl="0" w:tplc="CDE8DA4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90C4006"/>
    <w:multiLevelType w:val="hybridMultilevel"/>
    <w:tmpl w:val="0EE86118"/>
    <w:lvl w:ilvl="0" w:tplc="17AC70D4">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741944B7"/>
    <w:multiLevelType w:val="hybridMultilevel"/>
    <w:tmpl w:val="491C340A"/>
    <w:lvl w:ilvl="0" w:tplc="1F3831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683"/>
    <w:rsid w:val="000002CB"/>
    <w:rsid w:val="00004EEF"/>
    <w:rsid w:val="000105C3"/>
    <w:rsid w:val="000120C0"/>
    <w:rsid w:val="00022269"/>
    <w:rsid w:val="000268F4"/>
    <w:rsid w:val="00035DE0"/>
    <w:rsid w:val="00045A0C"/>
    <w:rsid w:val="000574F7"/>
    <w:rsid w:val="00062C39"/>
    <w:rsid w:val="00067368"/>
    <w:rsid w:val="00074F68"/>
    <w:rsid w:val="0007719C"/>
    <w:rsid w:val="00077200"/>
    <w:rsid w:val="00081671"/>
    <w:rsid w:val="0008410C"/>
    <w:rsid w:val="000879A1"/>
    <w:rsid w:val="000A2682"/>
    <w:rsid w:val="000A50C9"/>
    <w:rsid w:val="000A6938"/>
    <w:rsid w:val="000B1E0C"/>
    <w:rsid w:val="000B2AAC"/>
    <w:rsid w:val="000B336D"/>
    <w:rsid w:val="000B3548"/>
    <w:rsid w:val="000B3F13"/>
    <w:rsid w:val="000B4083"/>
    <w:rsid w:val="000C785F"/>
    <w:rsid w:val="000D2C7B"/>
    <w:rsid w:val="000D6293"/>
    <w:rsid w:val="000D7007"/>
    <w:rsid w:val="000D7443"/>
    <w:rsid w:val="000E3158"/>
    <w:rsid w:val="000F293F"/>
    <w:rsid w:val="000F2AFD"/>
    <w:rsid w:val="000F339D"/>
    <w:rsid w:val="000F5E1B"/>
    <w:rsid w:val="000F76D0"/>
    <w:rsid w:val="001045FD"/>
    <w:rsid w:val="00105259"/>
    <w:rsid w:val="001052B8"/>
    <w:rsid w:val="00111CE5"/>
    <w:rsid w:val="001129CF"/>
    <w:rsid w:val="00116DE8"/>
    <w:rsid w:val="00126253"/>
    <w:rsid w:val="00126ADC"/>
    <w:rsid w:val="00147F58"/>
    <w:rsid w:val="00151188"/>
    <w:rsid w:val="0015779F"/>
    <w:rsid w:val="0016384C"/>
    <w:rsid w:val="00164034"/>
    <w:rsid w:val="00165523"/>
    <w:rsid w:val="00175934"/>
    <w:rsid w:val="00176F7D"/>
    <w:rsid w:val="00194D54"/>
    <w:rsid w:val="00196D24"/>
    <w:rsid w:val="001A3CE9"/>
    <w:rsid w:val="001A6460"/>
    <w:rsid w:val="001D2A60"/>
    <w:rsid w:val="001D443B"/>
    <w:rsid w:val="001D55C4"/>
    <w:rsid w:val="001E23A8"/>
    <w:rsid w:val="001E6804"/>
    <w:rsid w:val="001E7CCB"/>
    <w:rsid w:val="0020106A"/>
    <w:rsid w:val="00206283"/>
    <w:rsid w:val="00206DA7"/>
    <w:rsid w:val="00210214"/>
    <w:rsid w:val="00222170"/>
    <w:rsid w:val="00222BBB"/>
    <w:rsid w:val="002357D3"/>
    <w:rsid w:val="0023684D"/>
    <w:rsid w:val="002411C4"/>
    <w:rsid w:val="00252301"/>
    <w:rsid w:val="0025500C"/>
    <w:rsid w:val="00256024"/>
    <w:rsid w:val="002570C6"/>
    <w:rsid w:val="0026312A"/>
    <w:rsid w:val="00264900"/>
    <w:rsid w:val="00264CA1"/>
    <w:rsid w:val="00270838"/>
    <w:rsid w:val="00286764"/>
    <w:rsid w:val="00287A1F"/>
    <w:rsid w:val="002913C2"/>
    <w:rsid w:val="00292396"/>
    <w:rsid w:val="002951DB"/>
    <w:rsid w:val="002B03EA"/>
    <w:rsid w:val="002C524E"/>
    <w:rsid w:val="002D2EE1"/>
    <w:rsid w:val="002D5879"/>
    <w:rsid w:val="002E557E"/>
    <w:rsid w:val="002E58FD"/>
    <w:rsid w:val="002F2B52"/>
    <w:rsid w:val="00302753"/>
    <w:rsid w:val="00306C5B"/>
    <w:rsid w:val="003148B5"/>
    <w:rsid w:val="00326D71"/>
    <w:rsid w:val="00331D27"/>
    <w:rsid w:val="003367CB"/>
    <w:rsid w:val="00336CD8"/>
    <w:rsid w:val="00336EF0"/>
    <w:rsid w:val="003402BF"/>
    <w:rsid w:val="003511A7"/>
    <w:rsid w:val="003671AD"/>
    <w:rsid w:val="00375BCB"/>
    <w:rsid w:val="0038568E"/>
    <w:rsid w:val="003863C8"/>
    <w:rsid w:val="003867EB"/>
    <w:rsid w:val="003879E8"/>
    <w:rsid w:val="003953A0"/>
    <w:rsid w:val="003972BE"/>
    <w:rsid w:val="00397A19"/>
    <w:rsid w:val="003A2AD8"/>
    <w:rsid w:val="003A6904"/>
    <w:rsid w:val="003B6E67"/>
    <w:rsid w:val="003D3D54"/>
    <w:rsid w:val="003D5C7F"/>
    <w:rsid w:val="003E2E28"/>
    <w:rsid w:val="003E52B9"/>
    <w:rsid w:val="003F0A59"/>
    <w:rsid w:val="003F614B"/>
    <w:rsid w:val="003F7ECD"/>
    <w:rsid w:val="0040035B"/>
    <w:rsid w:val="004059D0"/>
    <w:rsid w:val="0040644A"/>
    <w:rsid w:val="004127C9"/>
    <w:rsid w:val="00423F8C"/>
    <w:rsid w:val="00425272"/>
    <w:rsid w:val="00425275"/>
    <w:rsid w:val="00426C5A"/>
    <w:rsid w:val="004335D5"/>
    <w:rsid w:val="004419A4"/>
    <w:rsid w:val="0044244A"/>
    <w:rsid w:val="0044681C"/>
    <w:rsid w:val="00457EDF"/>
    <w:rsid w:val="004606C5"/>
    <w:rsid w:val="004707DB"/>
    <w:rsid w:val="004720E9"/>
    <w:rsid w:val="004735A2"/>
    <w:rsid w:val="00476816"/>
    <w:rsid w:val="004819C8"/>
    <w:rsid w:val="00486D6D"/>
    <w:rsid w:val="0049583B"/>
    <w:rsid w:val="004962F1"/>
    <w:rsid w:val="004A07F4"/>
    <w:rsid w:val="004A5934"/>
    <w:rsid w:val="004A77D4"/>
    <w:rsid w:val="004B38B1"/>
    <w:rsid w:val="004B4F34"/>
    <w:rsid w:val="004C0A2F"/>
    <w:rsid w:val="004C0F62"/>
    <w:rsid w:val="004C2BB3"/>
    <w:rsid w:val="004D1F59"/>
    <w:rsid w:val="004D66C2"/>
    <w:rsid w:val="004D695A"/>
    <w:rsid w:val="004D6A7E"/>
    <w:rsid w:val="004D71F3"/>
    <w:rsid w:val="004D7D80"/>
    <w:rsid w:val="004E0411"/>
    <w:rsid w:val="004E5373"/>
    <w:rsid w:val="004F5204"/>
    <w:rsid w:val="005046C5"/>
    <w:rsid w:val="005072B1"/>
    <w:rsid w:val="00512870"/>
    <w:rsid w:val="005142B8"/>
    <w:rsid w:val="00521ED1"/>
    <w:rsid w:val="0052322B"/>
    <w:rsid w:val="00530286"/>
    <w:rsid w:val="00541C6F"/>
    <w:rsid w:val="005602D6"/>
    <w:rsid w:val="005602DC"/>
    <w:rsid w:val="00560D53"/>
    <w:rsid w:val="0058695A"/>
    <w:rsid w:val="0058719B"/>
    <w:rsid w:val="00593DD4"/>
    <w:rsid w:val="005957C8"/>
    <w:rsid w:val="005A02BC"/>
    <w:rsid w:val="005A594A"/>
    <w:rsid w:val="005B4507"/>
    <w:rsid w:val="005B6F55"/>
    <w:rsid w:val="005C1F69"/>
    <w:rsid w:val="005C4022"/>
    <w:rsid w:val="005C4F6D"/>
    <w:rsid w:val="005D181B"/>
    <w:rsid w:val="005D3748"/>
    <w:rsid w:val="005E2493"/>
    <w:rsid w:val="005E3285"/>
    <w:rsid w:val="005F181C"/>
    <w:rsid w:val="005F6535"/>
    <w:rsid w:val="0060124C"/>
    <w:rsid w:val="0060246A"/>
    <w:rsid w:val="00614A2B"/>
    <w:rsid w:val="006266F4"/>
    <w:rsid w:val="006426C9"/>
    <w:rsid w:val="00644E16"/>
    <w:rsid w:val="00646E81"/>
    <w:rsid w:val="00653242"/>
    <w:rsid w:val="006567A1"/>
    <w:rsid w:val="00664F6A"/>
    <w:rsid w:val="00674095"/>
    <w:rsid w:val="00674CEB"/>
    <w:rsid w:val="00674FBA"/>
    <w:rsid w:val="00675BE2"/>
    <w:rsid w:val="00680B70"/>
    <w:rsid w:val="00680C8D"/>
    <w:rsid w:val="006854E0"/>
    <w:rsid w:val="00691B38"/>
    <w:rsid w:val="00697ECD"/>
    <w:rsid w:val="006C15C2"/>
    <w:rsid w:val="006C2943"/>
    <w:rsid w:val="006C6390"/>
    <w:rsid w:val="006D6BA4"/>
    <w:rsid w:val="006E0E28"/>
    <w:rsid w:val="006E0F28"/>
    <w:rsid w:val="006E51B1"/>
    <w:rsid w:val="006F51C3"/>
    <w:rsid w:val="006F5F38"/>
    <w:rsid w:val="00713376"/>
    <w:rsid w:val="00730CD7"/>
    <w:rsid w:val="00735D3D"/>
    <w:rsid w:val="00742431"/>
    <w:rsid w:val="00750D81"/>
    <w:rsid w:val="00752E52"/>
    <w:rsid w:val="0075615F"/>
    <w:rsid w:val="00771EEB"/>
    <w:rsid w:val="007809EF"/>
    <w:rsid w:val="00791D09"/>
    <w:rsid w:val="00794296"/>
    <w:rsid w:val="007A02BB"/>
    <w:rsid w:val="007A4FB2"/>
    <w:rsid w:val="007B0836"/>
    <w:rsid w:val="007B386B"/>
    <w:rsid w:val="007B38BD"/>
    <w:rsid w:val="007B6DED"/>
    <w:rsid w:val="007C204D"/>
    <w:rsid w:val="007C4F50"/>
    <w:rsid w:val="007D1B78"/>
    <w:rsid w:val="007D51E9"/>
    <w:rsid w:val="007E358F"/>
    <w:rsid w:val="007F3087"/>
    <w:rsid w:val="007F3B12"/>
    <w:rsid w:val="0080232C"/>
    <w:rsid w:val="00806CFD"/>
    <w:rsid w:val="008168CA"/>
    <w:rsid w:val="00817FDA"/>
    <w:rsid w:val="00822459"/>
    <w:rsid w:val="00824B85"/>
    <w:rsid w:val="008302AF"/>
    <w:rsid w:val="008309C6"/>
    <w:rsid w:val="00837330"/>
    <w:rsid w:val="0084238F"/>
    <w:rsid w:val="00845A4F"/>
    <w:rsid w:val="0084745B"/>
    <w:rsid w:val="008622B6"/>
    <w:rsid w:val="00863122"/>
    <w:rsid w:val="008713D8"/>
    <w:rsid w:val="0087333B"/>
    <w:rsid w:val="008819C4"/>
    <w:rsid w:val="008849A5"/>
    <w:rsid w:val="00890A74"/>
    <w:rsid w:val="00895273"/>
    <w:rsid w:val="008B42DA"/>
    <w:rsid w:val="008B5554"/>
    <w:rsid w:val="008B7546"/>
    <w:rsid w:val="008C2FCB"/>
    <w:rsid w:val="008D59AC"/>
    <w:rsid w:val="008E1807"/>
    <w:rsid w:val="008E1DCB"/>
    <w:rsid w:val="008E221F"/>
    <w:rsid w:val="009005E5"/>
    <w:rsid w:val="0090108A"/>
    <w:rsid w:val="009030E7"/>
    <w:rsid w:val="00904968"/>
    <w:rsid w:val="00904C56"/>
    <w:rsid w:val="009056F8"/>
    <w:rsid w:val="00907090"/>
    <w:rsid w:val="0090716A"/>
    <w:rsid w:val="009104B4"/>
    <w:rsid w:val="00921088"/>
    <w:rsid w:val="009254CC"/>
    <w:rsid w:val="00930A7D"/>
    <w:rsid w:val="00931088"/>
    <w:rsid w:val="0093296F"/>
    <w:rsid w:val="00932D53"/>
    <w:rsid w:val="00934CD0"/>
    <w:rsid w:val="0094233E"/>
    <w:rsid w:val="009432B5"/>
    <w:rsid w:val="009475FA"/>
    <w:rsid w:val="0095370C"/>
    <w:rsid w:val="009603D0"/>
    <w:rsid w:val="009722E4"/>
    <w:rsid w:val="00973362"/>
    <w:rsid w:val="009742C3"/>
    <w:rsid w:val="009835C2"/>
    <w:rsid w:val="009927E7"/>
    <w:rsid w:val="009949EE"/>
    <w:rsid w:val="009954CB"/>
    <w:rsid w:val="009A27AF"/>
    <w:rsid w:val="009A5699"/>
    <w:rsid w:val="009B3AD5"/>
    <w:rsid w:val="009B7362"/>
    <w:rsid w:val="009C3126"/>
    <w:rsid w:val="009C3AE3"/>
    <w:rsid w:val="009F2C7F"/>
    <w:rsid w:val="009F53CA"/>
    <w:rsid w:val="009F5C73"/>
    <w:rsid w:val="009F70A4"/>
    <w:rsid w:val="00A03760"/>
    <w:rsid w:val="00A04005"/>
    <w:rsid w:val="00A07D24"/>
    <w:rsid w:val="00A12877"/>
    <w:rsid w:val="00A2280C"/>
    <w:rsid w:val="00A241E2"/>
    <w:rsid w:val="00A26F50"/>
    <w:rsid w:val="00A32D3E"/>
    <w:rsid w:val="00A35A3E"/>
    <w:rsid w:val="00A37988"/>
    <w:rsid w:val="00A412A5"/>
    <w:rsid w:val="00A50A22"/>
    <w:rsid w:val="00A51FFB"/>
    <w:rsid w:val="00A534D0"/>
    <w:rsid w:val="00A54CBD"/>
    <w:rsid w:val="00A56DFB"/>
    <w:rsid w:val="00A65BCC"/>
    <w:rsid w:val="00A73494"/>
    <w:rsid w:val="00A753CF"/>
    <w:rsid w:val="00A76D09"/>
    <w:rsid w:val="00A80688"/>
    <w:rsid w:val="00A84C61"/>
    <w:rsid w:val="00A85A9C"/>
    <w:rsid w:val="00A97D1C"/>
    <w:rsid w:val="00AA17DD"/>
    <w:rsid w:val="00AA2750"/>
    <w:rsid w:val="00AA5E07"/>
    <w:rsid w:val="00AA6C97"/>
    <w:rsid w:val="00AC397C"/>
    <w:rsid w:val="00AC71DB"/>
    <w:rsid w:val="00AD0BC1"/>
    <w:rsid w:val="00AD17EA"/>
    <w:rsid w:val="00AD276D"/>
    <w:rsid w:val="00AD448D"/>
    <w:rsid w:val="00AD472F"/>
    <w:rsid w:val="00AD720F"/>
    <w:rsid w:val="00AE71D7"/>
    <w:rsid w:val="00AF2AD4"/>
    <w:rsid w:val="00AF2DDA"/>
    <w:rsid w:val="00AF3833"/>
    <w:rsid w:val="00AF48F7"/>
    <w:rsid w:val="00AF569D"/>
    <w:rsid w:val="00AF7ADE"/>
    <w:rsid w:val="00B01EAE"/>
    <w:rsid w:val="00B13C73"/>
    <w:rsid w:val="00B20B6E"/>
    <w:rsid w:val="00B2199B"/>
    <w:rsid w:val="00B31F2E"/>
    <w:rsid w:val="00B320E7"/>
    <w:rsid w:val="00B3715D"/>
    <w:rsid w:val="00B4413D"/>
    <w:rsid w:val="00B559C3"/>
    <w:rsid w:val="00B56A89"/>
    <w:rsid w:val="00B71E91"/>
    <w:rsid w:val="00B72EA8"/>
    <w:rsid w:val="00B75DB2"/>
    <w:rsid w:val="00BA09F4"/>
    <w:rsid w:val="00BA7B92"/>
    <w:rsid w:val="00BB1FFB"/>
    <w:rsid w:val="00BB2EB5"/>
    <w:rsid w:val="00BB2FA0"/>
    <w:rsid w:val="00BC08F5"/>
    <w:rsid w:val="00BC3BD8"/>
    <w:rsid w:val="00BD684C"/>
    <w:rsid w:val="00BE09C1"/>
    <w:rsid w:val="00BE633B"/>
    <w:rsid w:val="00BF3B94"/>
    <w:rsid w:val="00BF4013"/>
    <w:rsid w:val="00BF6139"/>
    <w:rsid w:val="00BF6596"/>
    <w:rsid w:val="00C00D2D"/>
    <w:rsid w:val="00C016AF"/>
    <w:rsid w:val="00C062A0"/>
    <w:rsid w:val="00C10B0E"/>
    <w:rsid w:val="00C11EF3"/>
    <w:rsid w:val="00C12A6E"/>
    <w:rsid w:val="00C220A2"/>
    <w:rsid w:val="00C261F3"/>
    <w:rsid w:val="00C27CA9"/>
    <w:rsid w:val="00C312DE"/>
    <w:rsid w:val="00C31750"/>
    <w:rsid w:val="00C348C1"/>
    <w:rsid w:val="00C45A21"/>
    <w:rsid w:val="00C46662"/>
    <w:rsid w:val="00C51491"/>
    <w:rsid w:val="00C5210A"/>
    <w:rsid w:val="00C57AC1"/>
    <w:rsid w:val="00C624EA"/>
    <w:rsid w:val="00C74FFB"/>
    <w:rsid w:val="00C80D6D"/>
    <w:rsid w:val="00C84FEC"/>
    <w:rsid w:val="00C937BD"/>
    <w:rsid w:val="00CA2957"/>
    <w:rsid w:val="00CA3C2B"/>
    <w:rsid w:val="00CB0824"/>
    <w:rsid w:val="00CB2CCE"/>
    <w:rsid w:val="00CC17A3"/>
    <w:rsid w:val="00CC2020"/>
    <w:rsid w:val="00CC2CDC"/>
    <w:rsid w:val="00CC43A9"/>
    <w:rsid w:val="00CD084A"/>
    <w:rsid w:val="00CD70A5"/>
    <w:rsid w:val="00CE5A37"/>
    <w:rsid w:val="00CF0C12"/>
    <w:rsid w:val="00CF1F45"/>
    <w:rsid w:val="00CF2A53"/>
    <w:rsid w:val="00CF4965"/>
    <w:rsid w:val="00CF6982"/>
    <w:rsid w:val="00D04F74"/>
    <w:rsid w:val="00D074CD"/>
    <w:rsid w:val="00D109EF"/>
    <w:rsid w:val="00D148B8"/>
    <w:rsid w:val="00D15E40"/>
    <w:rsid w:val="00D33BF0"/>
    <w:rsid w:val="00D34EAD"/>
    <w:rsid w:val="00D3600B"/>
    <w:rsid w:val="00D416C4"/>
    <w:rsid w:val="00D50043"/>
    <w:rsid w:val="00D530AC"/>
    <w:rsid w:val="00D5457B"/>
    <w:rsid w:val="00D566FF"/>
    <w:rsid w:val="00D66734"/>
    <w:rsid w:val="00D82A2F"/>
    <w:rsid w:val="00D83406"/>
    <w:rsid w:val="00D8473F"/>
    <w:rsid w:val="00D8724A"/>
    <w:rsid w:val="00D906AA"/>
    <w:rsid w:val="00DA368E"/>
    <w:rsid w:val="00DA5801"/>
    <w:rsid w:val="00DA7CAF"/>
    <w:rsid w:val="00DB1683"/>
    <w:rsid w:val="00DB30B8"/>
    <w:rsid w:val="00DC0E54"/>
    <w:rsid w:val="00DD0A2A"/>
    <w:rsid w:val="00DD2243"/>
    <w:rsid w:val="00DD3D8D"/>
    <w:rsid w:val="00DD5A55"/>
    <w:rsid w:val="00DD75E1"/>
    <w:rsid w:val="00DF7258"/>
    <w:rsid w:val="00DF7F94"/>
    <w:rsid w:val="00E062A7"/>
    <w:rsid w:val="00E14FD8"/>
    <w:rsid w:val="00E33FDA"/>
    <w:rsid w:val="00E34C77"/>
    <w:rsid w:val="00E407EC"/>
    <w:rsid w:val="00E5506F"/>
    <w:rsid w:val="00E56FD9"/>
    <w:rsid w:val="00E60179"/>
    <w:rsid w:val="00E6058C"/>
    <w:rsid w:val="00E75F64"/>
    <w:rsid w:val="00E82F56"/>
    <w:rsid w:val="00E85119"/>
    <w:rsid w:val="00E86C71"/>
    <w:rsid w:val="00E87617"/>
    <w:rsid w:val="00E920DC"/>
    <w:rsid w:val="00E96D82"/>
    <w:rsid w:val="00EA0233"/>
    <w:rsid w:val="00EA4B66"/>
    <w:rsid w:val="00EB4984"/>
    <w:rsid w:val="00EB69B4"/>
    <w:rsid w:val="00EC2AA5"/>
    <w:rsid w:val="00EC33F1"/>
    <w:rsid w:val="00EC4914"/>
    <w:rsid w:val="00EC7D70"/>
    <w:rsid w:val="00ED1F62"/>
    <w:rsid w:val="00ED3E5C"/>
    <w:rsid w:val="00ED4061"/>
    <w:rsid w:val="00ED64B2"/>
    <w:rsid w:val="00EE1410"/>
    <w:rsid w:val="00EE217D"/>
    <w:rsid w:val="00EF2039"/>
    <w:rsid w:val="00EF3CC9"/>
    <w:rsid w:val="00EF4322"/>
    <w:rsid w:val="00F03D4E"/>
    <w:rsid w:val="00F041D9"/>
    <w:rsid w:val="00F05169"/>
    <w:rsid w:val="00F121FC"/>
    <w:rsid w:val="00F13965"/>
    <w:rsid w:val="00F14F6F"/>
    <w:rsid w:val="00F221A4"/>
    <w:rsid w:val="00F23198"/>
    <w:rsid w:val="00F24B56"/>
    <w:rsid w:val="00F37320"/>
    <w:rsid w:val="00F51C3D"/>
    <w:rsid w:val="00F528B4"/>
    <w:rsid w:val="00F74BB6"/>
    <w:rsid w:val="00F76026"/>
    <w:rsid w:val="00F94442"/>
    <w:rsid w:val="00F9753B"/>
    <w:rsid w:val="00FA1A71"/>
    <w:rsid w:val="00FD7705"/>
    <w:rsid w:val="00FE1C2F"/>
    <w:rsid w:val="00FE43F9"/>
    <w:rsid w:val="00FE5F5D"/>
    <w:rsid w:val="00FE6497"/>
    <w:rsid w:val="00FE78FF"/>
    <w:rsid w:val="00FF3DBE"/>
    <w:rsid w:val="00FF590C"/>
    <w:rsid w:val="00FF669B"/>
    <w:rsid w:val="00FF7C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8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uiPriority w:val="99"/>
    <w:qFormat/>
    <w:rsid w:val="009835C2"/>
    <w:pPr>
      <w:spacing w:before="100" w:beforeAutospacing="1" w:after="100" w:afterAutospacing="1"/>
    </w:p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9835C2"/>
    <w:rPr>
      <w:rFonts w:ascii="Times New Roman" w:eastAsia="Times New Roman" w:hAnsi="Times New Roman" w:cs="Times New Roman"/>
      <w:sz w:val="24"/>
      <w:szCs w:val="24"/>
      <w:lang w:val="ru-RU" w:eastAsia="ru-RU"/>
    </w:rPr>
  </w:style>
  <w:style w:type="paragraph" w:styleId="a5">
    <w:name w:val="header"/>
    <w:basedOn w:val="a"/>
    <w:link w:val="a6"/>
    <w:rsid w:val="00DB1683"/>
    <w:pPr>
      <w:tabs>
        <w:tab w:val="center" w:pos="4677"/>
        <w:tab w:val="right" w:pos="9355"/>
      </w:tabs>
    </w:pPr>
  </w:style>
  <w:style w:type="character" w:customStyle="1" w:styleId="a6">
    <w:name w:val="Верхній колонтитул Знак"/>
    <w:basedOn w:val="a0"/>
    <w:link w:val="a5"/>
    <w:rsid w:val="00DB1683"/>
    <w:rPr>
      <w:rFonts w:ascii="Times New Roman" w:eastAsia="Times New Roman" w:hAnsi="Times New Roman" w:cs="Times New Roman"/>
      <w:sz w:val="24"/>
      <w:szCs w:val="24"/>
      <w:lang w:val="ru-RU" w:eastAsia="ru-RU"/>
    </w:rPr>
  </w:style>
  <w:style w:type="character" w:styleId="a7">
    <w:name w:val="page number"/>
    <w:basedOn w:val="a0"/>
    <w:rsid w:val="00DB1683"/>
  </w:style>
  <w:style w:type="paragraph" w:customStyle="1" w:styleId="a8">
    <w:name w:val="Знак Знак Знак"/>
    <w:basedOn w:val="a"/>
    <w:rsid w:val="004C2BB3"/>
    <w:rPr>
      <w:rFonts w:ascii="Verdana" w:hAnsi="Verdana" w:cs="Verdana"/>
      <w:sz w:val="20"/>
      <w:szCs w:val="20"/>
      <w:lang w:val="en-US" w:eastAsia="en-US"/>
    </w:rPr>
  </w:style>
  <w:style w:type="paragraph" w:customStyle="1" w:styleId="1">
    <w:name w:val="Знак Знак1 Знак"/>
    <w:basedOn w:val="a"/>
    <w:rsid w:val="004C2BB3"/>
    <w:rPr>
      <w:rFonts w:ascii="Verdana" w:hAnsi="Verdana" w:cs="Verdana"/>
      <w:sz w:val="20"/>
      <w:szCs w:val="20"/>
      <w:lang w:val="en-US" w:eastAsia="en-US"/>
    </w:rPr>
  </w:style>
  <w:style w:type="paragraph" w:customStyle="1" w:styleId="2">
    <w:name w:val="Знак Знак Знак2"/>
    <w:basedOn w:val="a"/>
    <w:rsid w:val="00A2280C"/>
    <w:rPr>
      <w:rFonts w:ascii="Verdana" w:hAnsi="Verdana" w:cs="Verdana"/>
      <w:sz w:val="20"/>
      <w:szCs w:val="20"/>
      <w:lang w:val="en-US" w:eastAsia="en-US"/>
    </w:rPr>
  </w:style>
  <w:style w:type="paragraph" w:styleId="a9">
    <w:name w:val="Balloon Text"/>
    <w:basedOn w:val="a"/>
    <w:link w:val="aa"/>
    <w:uiPriority w:val="99"/>
    <w:semiHidden/>
    <w:unhideWhenUsed/>
    <w:rsid w:val="00D5457B"/>
    <w:rPr>
      <w:rFonts w:ascii="Tahoma" w:hAnsi="Tahoma" w:cs="Tahoma"/>
      <w:sz w:val="16"/>
      <w:szCs w:val="16"/>
    </w:rPr>
  </w:style>
  <w:style w:type="character" w:customStyle="1" w:styleId="aa">
    <w:name w:val="Текст у виносці Знак"/>
    <w:basedOn w:val="a0"/>
    <w:link w:val="a9"/>
    <w:uiPriority w:val="99"/>
    <w:semiHidden/>
    <w:rsid w:val="00D5457B"/>
    <w:rPr>
      <w:rFonts w:ascii="Tahoma" w:eastAsia="Times New Roman" w:hAnsi="Tahoma" w:cs="Tahoma"/>
      <w:sz w:val="16"/>
      <w:szCs w:val="16"/>
      <w:lang w:val="ru-RU" w:eastAsia="ru-RU"/>
    </w:rPr>
  </w:style>
  <w:style w:type="paragraph" w:styleId="ab">
    <w:name w:val="footer"/>
    <w:basedOn w:val="a"/>
    <w:link w:val="ac"/>
    <w:uiPriority w:val="99"/>
    <w:unhideWhenUsed/>
    <w:rsid w:val="00AA17DD"/>
    <w:pPr>
      <w:tabs>
        <w:tab w:val="center" w:pos="4819"/>
        <w:tab w:val="right" w:pos="9639"/>
      </w:tabs>
    </w:pPr>
  </w:style>
  <w:style w:type="character" w:customStyle="1" w:styleId="ac">
    <w:name w:val="Нижній колонтитул Знак"/>
    <w:basedOn w:val="a0"/>
    <w:link w:val="ab"/>
    <w:uiPriority w:val="99"/>
    <w:rsid w:val="00AA17DD"/>
    <w:rPr>
      <w:rFonts w:ascii="Times New Roman" w:eastAsia="Times New Roman" w:hAnsi="Times New Roman" w:cs="Times New Roman"/>
      <w:sz w:val="24"/>
      <w:szCs w:val="24"/>
      <w:lang w:val="ru-RU" w:eastAsia="ru-RU"/>
    </w:rPr>
  </w:style>
  <w:style w:type="paragraph" w:customStyle="1" w:styleId="rvps2">
    <w:name w:val="rvps2"/>
    <w:basedOn w:val="a"/>
    <w:rsid w:val="000F339D"/>
    <w:pPr>
      <w:spacing w:before="100" w:beforeAutospacing="1" w:after="100" w:afterAutospacing="1"/>
    </w:pPr>
  </w:style>
  <w:style w:type="paragraph" w:customStyle="1" w:styleId="StyleZakonu">
    <w:name w:val="StyleZakonu"/>
    <w:basedOn w:val="a"/>
    <w:rsid w:val="00F221A4"/>
    <w:pPr>
      <w:spacing w:after="60" w:line="220" w:lineRule="exact"/>
      <w:ind w:firstLine="284"/>
      <w:jc w:val="both"/>
    </w:pPr>
    <w:rPr>
      <w:sz w:val="20"/>
      <w:szCs w:val="20"/>
      <w:lang w:val="uk-UA"/>
    </w:rPr>
  </w:style>
  <w:style w:type="paragraph" w:styleId="ad">
    <w:name w:val="No Spacing"/>
    <w:link w:val="ae"/>
    <w:uiPriority w:val="1"/>
    <w:qFormat/>
    <w:rsid w:val="00BF3B94"/>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Без інтервалів Знак"/>
    <w:link w:val="ad"/>
    <w:uiPriority w:val="1"/>
    <w:rsid w:val="00BF3B94"/>
    <w:rPr>
      <w:rFonts w:ascii="Times New Roman" w:eastAsia="Times New Roman" w:hAnsi="Times New Roman" w:cs="Times New Roman"/>
      <w:sz w:val="24"/>
      <w:szCs w:val="24"/>
      <w:lang w:eastAsia="ar-SA"/>
    </w:rPr>
  </w:style>
  <w:style w:type="paragraph" w:customStyle="1" w:styleId="af">
    <w:name w:val="Знак Знак"/>
    <w:basedOn w:val="a"/>
    <w:link w:val="10"/>
    <w:qFormat/>
    <w:rsid w:val="00C31750"/>
    <w:rPr>
      <w:rFonts w:ascii="Verdana" w:eastAsia="Calibri" w:hAnsi="Verdana" w:cs="Verdana"/>
      <w:sz w:val="22"/>
      <w:szCs w:val="22"/>
      <w:lang w:val="en-US" w:eastAsia="en-US"/>
    </w:rPr>
  </w:style>
  <w:style w:type="character" w:customStyle="1" w:styleId="10">
    <w:name w:val="Знак Знак Знак1"/>
    <w:basedOn w:val="a0"/>
    <w:link w:val="af"/>
    <w:rsid w:val="00C31750"/>
    <w:rPr>
      <w:rFonts w:ascii="Verdana" w:eastAsia="Calibri" w:hAnsi="Verdana" w:cs="Verdana"/>
      <w:lang w:val="en-US"/>
    </w:rPr>
  </w:style>
  <w:style w:type="paragraph" w:styleId="af0">
    <w:name w:val="List Paragraph"/>
    <w:basedOn w:val="a"/>
    <w:uiPriority w:val="34"/>
    <w:qFormat/>
    <w:rsid w:val="00F23198"/>
    <w:pPr>
      <w:ind w:left="720"/>
      <w:contextualSpacing/>
    </w:pPr>
  </w:style>
  <w:style w:type="character" w:customStyle="1" w:styleId="20">
    <w:name w:val="Основной текст (2)_"/>
    <w:basedOn w:val="a0"/>
    <w:link w:val="21"/>
    <w:rsid w:val="00DD2243"/>
    <w:rPr>
      <w:shd w:val="clear" w:color="auto" w:fill="FFFFFF"/>
    </w:rPr>
  </w:style>
  <w:style w:type="paragraph" w:customStyle="1" w:styleId="21">
    <w:name w:val="Основной текст (2)1"/>
    <w:basedOn w:val="a"/>
    <w:link w:val="20"/>
    <w:rsid w:val="00DD2243"/>
    <w:pPr>
      <w:widowControl w:val="0"/>
      <w:shd w:val="clear" w:color="auto" w:fill="FFFFFF"/>
      <w:spacing w:after="240" w:line="277" w:lineRule="exact"/>
      <w:jc w:val="right"/>
    </w:pPr>
    <w:rPr>
      <w:rFonts w:asciiTheme="minorHAnsi" w:eastAsiaTheme="minorHAnsi" w:hAnsiTheme="minorHAnsi" w:cstheme="minorBidi"/>
      <w:sz w:val="22"/>
      <w:szCs w:val="22"/>
      <w:lang w:val="uk-UA" w:eastAsia="en-US"/>
    </w:rPr>
  </w:style>
  <w:style w:type="paragraph" w:styleId="af1">
    <w:name w:val="Body Text"/>
    <w:basedOn w:val="a"/>
    <w:link w:val="af2"/>
    <w:uiPriority w:val="1"/>
    <w:qFormat/>
    <w:rsid w:val="0060124C"/>
    <w:pPr>
      <w:widowControl w:val="0"/>
      <w:autoSpaceDE w:val="0"/>
      <w:autoSpaceDN w:val="0"/>
    </w:pPr>
    <w:rPr>
      <w:sz w:val="22"/>
      <w:szCs w:val="22"/>
      <w:lang w:val="uk-UA" w:eastAsia="en-US"/>
    </w:rPr>
  </w:style>
  <w:style w:type="character" w:customStyle="1" w:styleId="af2">
    <w:name w:val="Основний текст Знак"/>
    <w:basedOn w:val="a0"/>
    <w:link w:val="af1"/>
    <w:uiPriority w:val="1"/>
    <w:rsid w:val="0060124C"/>
    <w:rPr>
      <w:rFonts w:ascii="Times New Roman" w:eastAsia="Times New Roman" w:hAnsi="Times New Roman" w:cs="Times New Roman"/>
    </w:rPr>
  </w:style>
  <w:style w:type="paragraph" w:customStyle="1" w:styleId="11">
    <w:name w:val="Обычный1"/>
    <w:qFormat/>
    <w:rsid w:val="00AF3833"/>
    <w:pPr>
      <w:spacing w:after="0" w:line="240" w:lineRule="auto"/>
    </w:pPr>
    <w:rPr>
      <w:rFonts w:ascii="Times New Roman" w:eastAsia="Times New Roman" w:hAnsi="Times New Roman" w:cs="Times New Roman"/>
      <w:sz w:val="24"/>
      <w:szCs w:val="20"/>
      <w:lang w:eastAsia="uk-UA"/>
    </w:rPr>
  </w:style>
  <w:style w:type="character" w:customStyle="1" w:styleId="z-label">
    <w:name w:val="z-label"/>
    <w:basedOn w:val="a0"/>
    <w:rsid w:val="00664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8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uiPriority w:val="99"/>
    <w:qFormat/>
    <w:rsid w:val="009835C2"/>
    <w:pPr>
      <w:spacing w:before="100" w:beforeAutospacing="1" w:after="100" w:afterAutospacing="1"/>
    </w:p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9835C2"/>
    <w:rPr>
      <w:rFonts w:ascii="Times New Roman" w:eastAsia="Times New Roman" w:hAnsi="Times New Roman" w:cs="Times New Roman"/>
      <w:sz w:val="24"/>
      <w:szCs w:val="24"/>
      <w:lang w:val="ru-RU" w:eastAsia="ru-RU"/>
    </w:rPr>
  </w:style>
  <w:style w:type="paragraph" w:styleId="a5">
    <w:name w:val="header"/>
    <w:basedOn w:val="a"/>
    <w:link w:val="a6"/>
    <w:rsid w:val="00DB1683"/>
    <w:pPr>
      <w:tabs>
        <w:tab w:val="center" w:pos="4677"/>
        <w:tab w:val="right" w:pos="9355"/>
      </w:tabs>
    </w:pPr>
  </w:style>
  <w:style w:type="character" w:customStyle="1" w:styleId="a6">
    <w:name w:val="Верхній колонтитул Знак"/>
    <w:basedOn w:val="a0"/>
    <w:link w:val="a5"/>
    <w:rsid w:val="00DB1683"/>
    <w:rPr>
      <w:rFonts w:ascii="Times New Roman" w:eastAsia="Times New Roman" w:hAnsi="Times New Roman" w:cs="Times New Roman"/>
      <w:sz w:val="24"/>
      <w:szCs w:val="24"/>
      <w:lang w:val="ru-RU" w:eastAsia="ru-RU"/>
    </w:rPr>
  </w:style>
  <w:style w:type="character" w:styleId="a7">
    <w:name w:val="page number"/>
    <w:basedOn w:val="a0"/>
    <w:rsid w:val="00DB1683"/>
  </w:style>
  <w:style w:type="paragraph" w:customStyle="1" w:styleId="a8">
    <w:name w:val="Знак Знак Знак"/>
    <w:basedOn w:val="a"/>
    <w:rsid w:val="004C2BB3"/>
    <w:rPr>
      <w:rFonts w:ascii="Verdana" w:hAnsi="Verdana" w:cs="Verdana"/>
      <w:sz w:val="20"/>
      <w:szCs w:val="20"/>
      <w:lang w:val="en-US" w:eastAsia="en-US"/>
    </w:rPr>
  </w:style>
  <w:style w:type="paragraph" w:customStyle="1" w:styleId="1">
    <w:name w:val="Знак Знак1 Знак"/>
    <w:basedOn w:val="a"/>
    <w:rsid w:val="004C2BB3"/>
    <w:rPr>
      <w:rFonts w:ascii="Verdana" w:hAnsi="Verdana" w:cs="Verdana"/>
      <w:sz w:val="20"/>
      <w:szCs w:val="20"/>
      <w:lang w:val="en-US" w:eastAsia="en-US"/>
    </w:rPr>
  </w:style>
  <w:style w:type="paragraph" w:customStyle="1" w:styleId="2">
    <w:name w:val="Знак Знак Знак2"/>
    <w:basedOn w:val="a"/>
    <w:rsid w:val="00A2280C"/>
    <w:rPr>
      <w:rFonts w:ascii="Verdana" w:hAnsi="Verdana" w:cs="Verdana"/>
      <w:sz w:val="20"/>
      <w:szCs w:val="20"/>
      <w:lang w:val="en-US" w:eastAsia="en-US"/>
    </w:rPr>
  </w:style>
  <w:style w:type="paragraph" w:styleId="a9">
    <w:name w:val="Balloon Text"/>
    <w:basedOn w:val="a"/>
    <w:link w:val="aa"/>
    <w:uiPriority w:val="99"/>
    <w:semiHidden/>
    <w:unhideWhenUsed/>
    <w:rsid w:val="00D5457B"/>
    <w:rPr>
      <w:rFonts w:ascii="Tahoma" w:hAnsi="Tahoma" w:cs="Tahoma"/>
      <w:sz w:val="16"/>
      <w:szCs w:val="16"/>
    </w:rPr>
  </w:style>
  <w:style w:type="character" w:customStyle="1" w:styleId="aa">
    <w:name w:val="Текст у виносці Знак"/>
    <w:basedOn w:val="a0"/>
    <w:link w:val="a9"/>
    <w:uiPriority w:val="99"/>
    <w:semiHidden/>
    <w:rsid w:val="00D5457B"/>
    <w:rPr>
      <w:rFonts w:ascii="Tahoma" w:eastAsia="Times New Roman" w:hAnsi="Tahoma" w:cs="Tahoma"/>
      <w:sz w:val="16"/>
      <w:szCs w:val="16"/>
      <w:lang w:val="ru-RU" w:eastAsia="ru-RU"/>
    </w:rPr>
  </w:style>
  <w:style w:type="paragraph" w:styleId="ab">
    <w:name w:val="footer"/>
    <w:basedOn w:val="a"/>
    <w:link w:val="ac"/>
    <w:uiPriority w:val="99"/>
    <w:unhideWhenUsed/>
    <w:rsid w:val="00AA17DD"/>
    <w:pPr>
      <w:tabs>
        <w:tab w:val="center" w:pos="4819"/>
        <w:tab w:val="right" w:pos="9639"/>
      </w:tabs>
    </w:pPr>
  </w:style>
  <w:style w:type="character" w:customStyle="1" w:styleId="ac">
    <w:name w:val="Нижній колонтитул Знак"/>
    <w:basedOn w:val="a0"/>
    <w:link w:val="ab"/>
    <w:uiPriority w:val="99"/>
    <w:rsid w:val="00AA17DD"/>
    <w:rPr>
      <w:rFonts w:ascii="Times New Roman" w:eastAsia="Times New Roman" w:hAnsi="Times New Roman" w:cs="Times New Roman"/>
      <w:sz w:val="24"/>
      <w:szCs w:val="24"/>
      <w:lang w:val="ru-RU" w:eastAsia="ru-RU"/>
    </w:rPr>
  </w:style>
  <w:style w:type="paragraph" w:customStyle="1" w:styleId="rvps2">
    <w:name w:val="rvps2"/>
    <w:basedOn w:val="a"/>
    <w:rsid w:val="000F339D"/>
    <w:pPr>
      <w:spacing w:before="100" w:beforeAutospacing="1" w:after="100" w:afterAutospacing="1"/>
    </w:pPr>
  </w:style>
  <w:style w:type="paragraph" w:customStyle="1" w:styleId="StyleZakonu">
    <w:name w:val="StyleZakonu"/>
    <w:basedOn w:val="a"/>
    <w:rsid w:val="00F221A4"/>
    <w:pPr>
      <w:spacing w:after="60" w:line="220" w:lineRule="exact"/>
      <w:ind w:firstLine="284"/>
      <w:jc w:val="both"/>
    </w:pPr>
    <w:rPr>
      <w:sz w:val="20"/>
      <w:szCs w:val="20"/>
      <w:lang w:val="uk-UA"/>
    </w:rPr>
  </w:style>
  <w:style w:type="paragraph" w:styleId="ad">
    <w:name w:val="No Spacing"/>
    <w:link w:val="ae"/>
    <w:uiPriority w:val="1"/>
    <w:qFormat/>
    <w:rsid w:val="00BF3B94"/>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Без інтервалів Знак"/>
    <w:link w:val="ad"/>
    <w:uiPriority w:val="1"/>
    <w:rsid w:val="00BF3B94"/>
    <w:rPr>
      <w:rFonts w:ascii="Times New Roman" w:eastAsia="Times New Roman" w:hAnsi="Times New Roman" w:cs="Times New Roman"/>
      <w:sz w:val="24"/>
      <w:szCs w:val="24"/>
      <w:lang w:eastAsia="ar-SA"/>
    </w:rPr>
  </w:style>
  <w:style w:type="paragraph" w:customStyle="1" w:styleId="af">
    <w:name w:val="Знак Знак"/>
    <w:basedOn w:val="a"/>
    <w:link w:val="10"/>
    <w:qFormat/>
    <w:rsid w:val="00C31750"/>
    <w:rPr>
      <w:rFonts w:ascii="Verdana" w:eastAsia="Calibri" w:hAnsi="Verdana" w:cs="Verdana"/>
      <w:sz w:val="22"/>
      <w:szCs w:val="22"/>
      <w:lang w:val="en-US" w:eastAsia="en-US"/>
    </w:rPr>
  </w:style>
  <w:style w:type="character" w:customStyle="1" w:styleId="10">
    <w:name w:val="Знак Знак Знак1"/>
    <w:basedOn w:val="a0"/>
    <w:link w:val="af"/>
    <w:rsid w:val="00C31750"/>
    <w:rPr>
      <w:rFonts w:ascii="Verdana" w:eastAsia="Calibri" w:hAnsi="Verdana" w:cs="Verdana"/>
      <w:lang w:val="en-US"/>
    </w:rPr>
  </w:style>
  <w:style w:type="paragraph" w:styleId="af0">
    <w:name w:val="List Paragraph"/>
    <w:basedOn w:val="a"/>
    <w:uiPriority w:val="34"/>
    <w:qFormat/>
    <w:rsid w:val="00F23198"/>
    <w:pPr>
      <w:ind w:left="720"/>
      <w:contextualSpacing/>
    </w:pPr>
  </w:style>
  <w:style w:type="character" w:customStyle="1" w:styleId="20">
    <w:name w:val="Основной текст (2)_"/>
    <w:basedOn w:val="a0"/>
    <w:link w:val="21"/>
    <w:rsid w:val="00DD2243"/>
    <w:rPr>
      <w:shd w:val="clear" w:color="auto" w:fill="FFFFFF"/>
    </w:rPr>
  </w:style>
  <w:style w:type="paragraph" w:customStyle="1" w:styleId="21">
    <w:name w:val="Основной текст (2)1"/>
    <w:basedOn w:val="a"/>
    <w:link w:val="20"/>
    <w:rsid w:val="00DD2243"/>
    <w:pPr>
      <w:widowControl w:val="0"/>
      <w:shd w:val="clear" w:color="auto" w:fill="FFFFFF"/>
      <w:spacing w:after="240" w:line="277" w:lineRule="exact"/>
      <w:jc w:val="right"/>
    </w:pPr>
    <w:rPr>
      <w:rFonts w:asciiTheme="minorHAnsi" w:eastAsiaTheme="minorHAnsi" w:hAnsiTheme="minorHAnsi" w:cstheme="minorBidi"/>
      <w:sz w:val="22"/>
      <w:szCs w:val="22"/>
      <w:lang w:val="uk-UA" w:eastAsia="en-US"/>
    </w:rPr>
  </w:style>
  <w:style w:type="paragraph" w:styleId="af1">
    <w:name w:val="Body Text"/>
    <w:basedOn w:val="a"/>
    <w:link w:val="af2"/>
    <w:uiPriority w:val="1"/>
    <w:qFormat/>
    <w:rsid w:val="0060124C"/>
    <w:pPr>
      <w:widowControl w:val="0"/>
      <w:autoSpaceDE w:val="0"/>
      <w:autoSpaceDN w:val="0"/>
    </w:pPr>
    <w:rPr>
      <w:sz w:val="22"/>
      <w:szCs w:val="22"/>
      <w:lang w:val="uk-UA" w:eastAsia="en-US"/>
    </w:rPr>
  </w:style>
  <w:style w:type="character" w:customStyle="1" w:styleId="af2">
    <w:name w:val="Основний текст Знак"/>
    <w:basedOn w:val="a0"/>
    <w:link w:val="af1"/>
    <w:uiPriority w:val="1"/>
    <w:rsid w:val="0060124C"/>
    <w:rPr>
      <w:rFonts w:ascii="Times New Roman" w:eastAsia="Times New Roman" w:hAnsi="Times New Roman" w:cs="Times New Roman"/>
    </w:rPr>
  </w:style>
  <w:style w:type="paragraph" w:customStyle="1" w:styleId="11">
    <w:name w:val="Обычный1"/>
    <w:qFormat/>
    <w:rsid w:val="00AF3833"/>
    <w:pPr>
      <w:spacing w:after="0" w:line="240" w:lineRule="auto"/>
    </w:pPr>
    <w:rPr>
      <w:rFonts w:ascii="Times New Roman" w:eastAsia="Times New Roman" w:hAnsi="Times New Roman" w:cs="Times New Roman"/>
      <w:sz w:val="24"/>
      <w:szCs w:val="20"/>
      <w:lang w:eastAsia="uk-UA"/>
    </w:rPr>
  </w:style>
  <w:style w:type="character" w:customStyle="1" w:styleId="z-label">
    <w:name w:val="z-label"/>
    <w:basedOn w:val="a0"/>
    <w:rsid w:val="00664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7878">
      <w:bodyDiv w:val="1"/>
      <w:marLeft w:val="0"/>
      <w:marRight w:val="0"/>
      <w:marTop w:val="0"/>
      <w:marBottom w:val="0"/>
      <w:divBdr>
        <w:top w:val="none" w:sz="0" w:space="0" w:color="auto"/>
        <w:left w:val="none" w:sz="0" w:space="0" w:color="auto"/>
        <w:bottom w:val="none" w:sz="0" w:space="0" w:color="auto"/>
        <w:right w:val="none" w:sz="0" w:space="0" w:color="auto"/>
      </w:divBdr>
    </w:div>
    <w:div w:id="925697238">
      <w:bodyDiv w:val="1"/>
      <w:marLeft w:val="0"/>
      <w:marRight w:val="0"/>
      <w:marTop w:val="0"/>
      <w:marBottom w:val="0"/>
      <w:divBdr>
        <w:top w:val="none" w:sz="0" w:space="0" w:color="auto"/>
        <w:left w:val="none" w:sz="0" w:space="0" w:color="auto"/>
        <w:bottom w:val="none" w:sz="0" w:space="0" w:color="auto"/>
        <w:right w:val="none" w:sz="0" w:space="0" w:color="auto"/>
      </w:divBdr>
    </w:div>
    <w:div w:id="947933247">
      <w:bodyDiv w:val="1"/>
      <w:marLeft w:val="0"/>
      <w:marRight w:val="0"/>
      <w:marTop w:val="0"/>
      <w:marBottom w:val="0"/>
      <w:divBdr>
        <w:top w:val="none" w:sz="0" w:space="0" w:color="auto"/>
        <w:left w:val="none" w:sz="0" w:space="0" w:color="auto"/>
        <w:bottom w:val="none" w:sz="0" w:space="0" w:color="auto"/>
        <w:right w:val="none" w:sz="0" w:space="0" w:color="auto"/>
      </w:divBdr>
    </w:div>
    <w:div w:id="1165169984">
      <w:bodyDiv w:val="1"/>
      <w:marLeft w:val="0"/>
      <w:marRight w:val="0"/>
      <w:marTop w:val="0"/>
      <w:marBottom w:val="0"/>
      <w:divBdr>
        <w:top w:val="none" w:sz="0" w:space="0" w:color="auto"/>
        <w:left w:val="none" w:sz="0" w:space="0" w:color="auto"/>
        <w:bottom w:val="none" w:sz="0" w:space="0" w:color="auto"/>
        <w:right w:val="none" w:sz="0" w:space="0" w:color="auto"/>
      </w:divBdr>
    </w:div>
    <w:div w:id="1391922496">
      <w:bodyDiv w:val="1"/>
      <w:marLeft w:val="0"/>
      <w:marRight w:val="0"/>
      <w:marTop w:val="0"/>
      <w:marBottom w:val="0"/>
      <w:divBdr>
        <w:top w:val="none" w:sz="0" w:space="0" w:color="auto"/>
        <w:left w:val="none" w:sz="0" w:space="0" w:color="auto"/>
        <w:bottom w:val="none" w:sz="0" w:space="0" w:color="auto"/>
        <w:right w:val="none" w:sz="0" w:space="0" w:color="auto"/>
      </w:divBdr>
    </w:div>
    <w:div w:id="1645506791">
      <w:bodyDiv w:val="1"/>
      <w:marLeft w:val="0"/>
      <w:marRight w:val="0"/>
      <w:marTop w:val="0"/>
      <w:marBottom w:val="0"/>
      <w:divBdr>
        <w:top w:val="none" w:sz="0" w:space="0" w:color="auto"/>
        <w:left w:val="none" w:sz="0" w:space="0" w:color="auto"/>
        <w:bottom w:val="none" w:sz="0" w:space="0" w:color="auto"/>
        <w:right w:val="none" w:sz="0" w:space="0" w:color="auto"/>
      </w:divBdr>
    </w:div>
    <w:div w:id="1677536369">
      <w:bodyDiv w:val="1"/>
      <w:marLeft w:val="0"/>
      <w:marRight w:val="0"/>
      <w:marTop w:val="0"/>
      <w:marBottom w:val="0"/>
      <w:divBdr>
        <w:top w:val="none" w:sz="0" w:space="0" w:color="auto"/>
        <w:left w:val="none" w:sz="0" w:space="0" w:color="auto"/>
        <w:bottom w:val="none" w:sz="0" w:space="0" w:color="auto"/>
        <w:right w:val="none" w:sz="0" w:space="0" w:color="auto"/>
      </w:divBdr>
    </w:div>
    <w:div w:id="1701542790">
      <w:bodyDiv w:val="1"/>
      <w:marLeft w:val="0"/>
      <w:marRight w:val="0"/>
      <w:marTop w:val="0"/>
      <w:marBottom w:val="0"/>
      <w:divBdr>
        <w:top w:val="none" w:sz="0" w:space="0" w:color="auto"/>
        <w:left w:val="none" w:sz="0" w:space="0" w:color="auto"/>
        <w:bottom w:val="none" w:sz="0" w:space="0" w:color="auto"/>
        <w:right w:val="none" w:sz="0" w:space="0" w:color="auto"/>
      </w:divBdr>
    </w:div>
    <w:div w:id="2033069907">
      <w:bodyDiv w:val="1"/>
      <w:marLeft w:val="0"/>
      <w:marRight w:val="0"/>
      <w:marTop w:val="0"/>
      <w:marBottom w:val="0"/>
      <w:divBdr>
        <w:top w:val="none" w:sz="0" w:space="0" w:color="auto"/>
        <w:left w:val="none" w:sz="0" w:space="0" w:color="auto"/>
        <w:bottom w:val="none" w:sz="0" w:space="0" w:color="auto"/>
        <w:right w:val="none" w:sz="0" w:space="0" w:color="auto"/>
      </w:divBdr>
    </w:div>
    <w:div w:id="2049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4D60-C73F-4B80-BDF7-FC474426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8373</Words>
  <Characters>4773</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МАХМУДОВА ДАРИНА АНАТОЛІЇВНА</cp:lastModifiedBy>
  <cp:revision>6</cp:revision>
  <cp:lastPrinted>2024-02-06T12:08:00Z</cp:lastPrinted>
  <dcterms:created xsi:type="dcterms:W3CDTF">2024-03-27T08:57:00Z</dcterms:created>
  <dcterms:modified xsi:type="dcterms:W3CDTF">2024-04-01T12:32:00Z</dcterms:modified>
</cp:coreProperties>
</file>