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6095" w:rsidRPr="00E450F4" w:rsidRDefault="008417F4" w:rsidP="00F505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Узагальнені пропозиції щодо доопрацювання критеріїв Переліку платників податків з високим рівнем </w:t>
      </w:r>
      <w:r w:rsidRPr="00E450F4">
        <w:rPr>
          <w:rFonts w:ascii="Times New Roman" w:eastAsia="Times New Roman" w:hAnsi="Times New Roman" w:cs="Times New Roman"/>
          <w:sz w:val="28"/>
          <w:szCs w:val="28"/>
        </w:rPr>
        <w:t>добровільного дотримання податкового законодавства, що надійшли на адресу Комітету станом на 0</w:t>
      </w:r>
      <w:r w:rsidR="00E450F4" w:rsidRPr="00E450F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E450F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323AB" w:rsidRPr="00E450F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450F4">
        <w:rPr>
          <w:rFonts w:ascii="Times New Roman" w:eastAsia="Times New Roman" w:hAnsi="Times New Roman" w:cs="Times New Roman"/>
          <w:sz w:val="28"/>
          <w:szCs w:val="28"/>
        </w:rPr>
        <w:t>.2025</w:t>
      </w:r>
    </w:p>
    <w:tbl>
      <w:tblPr>
        <w:tblStyle w:val="a5"/>
        <w:tblW w:w="15431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6"/>
        <w:gridCol w:w="4111"/>
        <w:gridCol w:w="4690"/>
        <w:gridCol w:w="2414"/>
      </w:tblGrid>
      <w:tr w:rsidR="00E76095" w:rsidRPr="00713190" w:rsidTr="0021422B">
        <w:trPr>
          <w:tblHeader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713190" w:rsidRDefault="008417F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Податковий </w:t>
            </w:r>
            <w:r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України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713190" w:rsidRDefault="00F50597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Отримані Комітетом</w:t>
            </w:r>
            <w:r w:rsidR="008417F4"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пропозиції щодо формування Переліку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713190" w:rsidRDefault="00930EFF" w:rsidP="002C7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Мінфіну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930EFF" w:rsidRDefault="00930EFF" w:rsidP="00E45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50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опередня п</w:t>
            </w:r>
            <w:r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>озиція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713190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69.41. На період дії воєнного стану в Україні, введеного Указом Президента України "Про введення воєнного стану в Україні" від 24 лютого 2022 року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64/2022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затвердженим Законом України "Про затвердження Указу Президента України "Про введення воєнного стану в Україні" від 24 лютого 2022 року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2102-IX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та по 31 грудня року, в якому воєнний стан буде припинено або скасовано, для платників податків з високим рівнем добровільного дотримання податкового законодавства встановлюються особливості адміністрування податків, зборів, платежів, що здійснюється контролюючими органами, визначеними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підпунктом 41.1.1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пункту 41.1 статті 41 цього Кодексу (податкового адміністрування), визначені цим підпунктом.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703" w:rsidRPr="00A32703" w:rsidRDefault="00A32703" w:rsidP="00A32703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(АТ «Рудь»)</w:t>
            </w:r>
          </w:p>
          <w:p w:rsidR="00E76095" w:rsidRDefault="00A32703" w:rsidP="004325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втоматично включити до Переліку платників, включених до Реєстру великих платників податків</w:t>
            </w:r>
          </w:p>
          <w:p w:rsidR="00A32703" w:rsidRPr="00A32703" w:rsidRDefault="00A32703" w:rsidP="00A32703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КУ </w:t>
            </w:r>
            <w:r w:rsidRPr="00CB6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877" w:rsidRPr="00243877" w:rsidRDefault="00243877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Не підтримується.</w:t>
            </w:r>
          </w:p>
          <w:p w:rsidR="00243877" w:rsidRPr="00243877" w:rsidRDefault="00243877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 Реєстру ВПП включаються платники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податків, які відповідають критеріям великого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платника податків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визначених підпунктом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14.1.24 пункту 14.1 статті 14 Податкового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кодексу України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(далі – Кодексу): великий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платник податків - юридична особа або постійне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представництво нерезидента на території України,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якої обсяг доходу від усіх видів діяльності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останні чотири послідовні податкові (звітні)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квартали перевищує еквівалент 50 мільйонів євро,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визначений за середньозваженим офіційним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курсом НБУ за той самий період, або загальна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податків, зборів, платежів, сплачених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Державного бюджету України, контроль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справлянням яких покладено на контролюючі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органи, крім митних платежів, за такий самий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 перевищує еквівалент 1,5 мільйона євро,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визначений за середньозваженим офіційним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курсом НБУ за той самий період.</w:t>
            </w:r>
          </w:p>
          <w:p w:rsidR="00243877" w:rsidRPr="00243877" w:rsidRDefault="00243877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Таким чином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критерії, визначені підпунктами</w:t>
            </w:r>
            <w:r w:rsid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14.1.24 пункту 14.1 статті 14 та підпункту</w:t>
            </w:r>
            <w:r w:rsid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69.41 Кодексу, не тотожні і не співставні.</w:t>
            </w:r>
          </w:p>
          <w:p w:rsidR="00A62F4B" w:rsidRPr="00A62F4B" w:rsidRDefault="00243877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Одним з очікуваних позитивних результатів від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впровадження особливого адміністрування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податків, зборів, платежів для платників податків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високим рівнем добровільного дотримання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податкового законодавства є стимулювання та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рівня добровільного дотримання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податкового законодавства платниками податків.</w:t>
            </w:r>
          </w:p>
          <w:p w:rsidR="00A62F4B" w:rsidRPr="00A62F4B" w:rsidRDefault="00A62F4B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Водночас, </w:t>
            </w:r>
            <w:r w:rsidRP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не всі платники, включені до Реєстру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ВПП, відповідають критеріям та вимогам, які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передбачені для платників високого рівня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дотримання податкового законодавства.</w:t>
            </w:r>
          </w:p>
          <w:p w:rsidR="00E76095" w:rsidRDefault="00A62F4B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Наприклад, по великих платниках податків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року станом на 01.03.2025 наявний податковий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борг на суму 2 728 703,9 тис грн (69 платників)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26 платниках наявне чинне рішення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відповідність платника податків критеріям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ризиковості платника податку на додану вартість.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930EFF" w:rsidRDefault="00930EFF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highlight w:val="white"/>
                <w:lang w:val="uk-UA"/>
              </w:rPr>
              <w:lastRenderedPageBreak/>
              <w:t>Не підтримується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69.41.1. До платників податків з високим рівнем добровільного дотримання податкового законодавства належать юридичні особи та фізичні особи - підприємці, що одночасно відповідають всім таким вимогам:</w:t>
            </w:r>
          </w:p>
          <w:p w:rsidR="00E76095" w:rsidRDefault="008417F4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  <w:p w:rsidR="00E76095" w:rsidRDefault="008417F4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г) відсутність фактів порушення платником податків податкових обов’язків щодо подання звітності та/або документів (повідомлень), у тому числі передбачених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статтями 39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і </w:t>
            </w:r>
            <w:hyperlink r:id="rId6" w:anchor="n18466">
              <w:r w:rsidRPr="00F85A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39</w:t>
              </w:r>
            </w:hyperlink>
            <w:hyperlink r:id="rId7" w:anchor="n18466">
              <w:r w:rsidRPr="00F85A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vertAlign w:val="superscript"/>
                </w:rPr>
                <w:t>-</w:t>
              </w:r>
            </w:hyperlink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пунктом 46.2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статті 46 цього Кодексу;</w:t>
            </w:r>
          </w:p>
          <w:p w:rsidR="00E76095" w:rsidRDefault="00E76095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76095" w:rsidRDefault="00E76095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76095" w:rsidRDefault="00E76095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76095" w:rsidRDefault="00E76095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B6B" w:rsidRDefault="00CB6B6B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041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Європейська бізнес асоціація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76095" w:rsidRDefault="00D86CFF" w:rsidP="0043259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мінити критерії з метою чіткого диференціювання випадків порушень податкових обов’язків, розмежовуючи випадкові чи неусвідомлені помилки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навмисні, повторні порушення.</w:t>
            </w:r>
          </w:p>
          <w:p w:rsidR="00CB6B6B" w:rsidRDefault="00041B26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</w:t>
            </w:r>
            <w:r w:rsidR="00CB6B6B"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="00CB6B6B"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="00CB6B6B"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відсутніcть фактів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умисного, повторного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порушення платником податків податкових обов’язків щодо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дотримання строків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подання податкової звітності,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саме: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податку на прибуток підприємств;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податку на додану вартість;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платника єдиного податку;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звітності передбаченої статтями 39 і 39-2, пунктом 46.2 статті 46 цього Кодексу;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плати за землю (земельний податок та/або орендна плата за земельні ділянки державної або комунальної власності);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податку на нерухоме майно, відмінне від земельної ділянки;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рентної плати;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акцизного податку.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Критерії визначені даним підпунктом не підлягають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застосуванню до порушень пов’язаних з недотриманням строків та/або правил реєстрації податкових накладних / розрахунків коригування до податкових накладних, в тому числі, порушень пов’язаних з реєстрацією податкових накладних / розрахунків коригування до податкових накладних складених відповідно до правил режиму експортного забезпечення; порушень строків надання відповіді на запити контролюючого органу; порушення строків/правил надання іншої звітності (у тому числі річної фінансової звітності та річної консолідованої звітності, що підлягає оприлюдненню разом з аудиторським звітом), строки подання якої є продовженими/ зупиненими згідно з положеннями даного Кодексу та інших законів України (зокрема, Законом України «Про захист інтересів суб’єктів подання звітності та інших документів у період дії воєнного стану або стану війни»); та звітності що подається платниками податку до органів статистики.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Для цілей застосування положень даного підпункту, під порушенням розуміється затримка у поданні податкової звітності, що становить 10 та більше робочих днів.</w:t>
            </w:r>
          </w:p>
          <w:p w:rsidR="00E76095" w:rsidRDefault="00D86CFF" w:rsidP="009D16D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Повторним порушенням розуміється порушення здійснені платником податку понад два і більше рази протягом останніх 12 календарних місяців. Для звітності для якої передбачено річний (та/або більше) термін подання, положення пункту щодо повторного характеру правопорушення не застосовуються;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77" w:rsidRPr="002676CE" w:rsidRDefault="00A16E77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Не підтримується.</w:t>
            </w:r>
          </w:p>
          <w:p w:rsidR="00A16E77" w:rsidRPr="002676CE" w:rsidRDefault="00A16E77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Чинними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положеннями Кодексу не передбачено дослідження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контролюючим органом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умислу при неподанні чи несвоєчасному поданні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платником податків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податкової звітності.</w:t>
            </w:r>
          </w:p>
          <w:p w:rsidR="00A16E77" w:rsidRPr="002676CE" w:rsidRDefault="00A16E77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Відповідно до статті 4 Кодексу визначено принципи на яких ґрунтується податкове законодавство України, зокрема: невідворотність настання відповідальності.</w:t>
            </w:r>
          </w:p>
          <w:p w:rsidR="00E76095" w:rsidRPr="002676CE" w:rsidRDefault="00A16E77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Обчислення, декларування та/або сплата сум податку та збору відповідно до статті 36 Кодексу є податковим обов'язком платника податків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Крім того, Кодексом передбачена відповідальність платника податків за невиконання або неналежного виконання податкового обов'язку.</w:t>
            </w:r>
          </w:p>
          <w:p w:rsidR="002676CE" w:rsidRPr="002676CE" w:rsidRDefault="002676CE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Запровадження особливостей податкового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адміністрування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воєнного стану для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платників податків з високим рівнем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добровільного дотримання податкового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законодавства </w:t>
            </w:r>
            <w:r w:rsidRPr="002676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передбачало отримання переваг</w:t>
            </w:r>
            <w:r w:rsidR="005B4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адмініструванні податків юридичними та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фізичними особами,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які є еталонними, з точки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зору дотримання вимог податкового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законодавства України.</w:t>
            </w:r>
          </w:p>
          <w:p w:rsidR="002676CE" w:rsidRPr="002676CE" w:rsidRDefault="002676CE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Для визначення відповідності платника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податків вимозі щодо фактів порушення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платником податків податкових 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обов'язкі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щодо подання звітності та/або документів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(повідомлень)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наказу Мінфіну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07.10.2024 № 495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використовується інформація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щодо відсутності податкових повідомлень-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рішень за формою «ПС»,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 за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платником податків податкових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обов’язків щодо подання звітності та/або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 (повідомлень), у тому числі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передбачених статтями 39 і 39-2 розділу I,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пунктом 46.2 статті 46 глави 2 розділу II Кодексу.</w:t>
            </w:r>
          </w:p>
          <w:p w:rsidR="002676CE" w:rsidRPr="002676CE" w:rsidRDefault="002676CE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Водночас, виходячи із назви Переліку платників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 з високим рівнем добровільного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податкового законодавства,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 таких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платників повинен бути саме високий рівень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дотримання податкового законодавства, що не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передбачає невиконання або неналежного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виконання податкового обов'язку.</w:t>
            </w:r>
          </w:p>
          <w:p w:rsidR="005B4C2B" w:rsidRPr="005B4C2B" w:rsidRDefault="002676CE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 чином беручи до уваги зазначене та те, що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обов'язок є безумовним, вважаємо не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допустимим диференціювати факти порушення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обов’язків платника або встановлювати частку на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C2B" w:rsidRP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 можливо порушувати такі обов’язки платників</w:t>
            </w:r>
          </w:p>
          <w:p w:rsidR="002676CE" w:rsidRPr="002676CE" w:rsidRDefault="005B4C2B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A420E8" w:rsidRDefault="00A420E8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Не підтримується</w:t>
            </w:r>
          </w:p>
        </w:tc>
      </w:tr>
      <w:tr w:rsidR="006D2677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6D2677" w:rsidP="005936B1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050" w:rsidRDefault="003A2050" w:rsidP="003A2050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(</w:t>
            </w:r>
            <w:r w:rsidRPr="003A20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ГРОМАДСЬКА СПІЛКА "УКРАЇНСЬКИЙ ФУД-РИТЕЙЛ АЛЬЯНС"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)</w:t>
            </w:r>
          </w:p>
          <w:p w:rsidR="003A2050" w:rsidRDefault="003A2050" w:rsidP="003A2050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Підпункт «г» виключити або</w:t>
            </w:r>
          </w:p>
          <w:p w:rsidR="003A2050" w:rsidRPr="003A2050" w:rsidRDefault="003A2050" w:rsidP="003A2050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6D2677" w:rsidRDefault="003A2050" w:rsidP="003A2050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3A2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г) відсутність фактів порушення платником податків податкових обов’язків щодо подання звітності та/або документів (повідомлень), у тому числі передбачених статтями 39 і 39-2, пункт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ом 46.2 статті 46 цього Кодексу, </w:t>
            </w:r>
            <w:r w:rsidRPr="003A2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 контролюючого органу за основним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A2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місцем обліку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  <w:r w:rsidR="00F2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6D2677" w:rsidP="00222569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C1410C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підтримується</w:t>
            </w:r>
          </w:p>
          <w:p w:rsidR="00C1410C" w:rsidRPr="00C1410C" w:rsidRDefault="00C1410C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141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(див. альтернативну пропозицію нижче)</w:t>
            </w:r>
          </w:p>
        </w:tc>
      </w:tr>
      <w:tr w:rsidR="006D2677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6D2677" w:rsidP="005936B1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9E2FD7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E2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(ВГО "Асоціація платників податків України"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, ПАТ «Завод Південкабель»)</w:t>
            </w:r>
          </w:p>
          <w:p w:rsidR="009E2FD7" w:rsidRDefault="009E2FD7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Внести зміни до пп.69.41.1 підрозділу 10 розділу ХХ в частині диференційованого підходу до визначення критеріїв включення платників до переліку, враховуючи місцезнаходження платника, сумлінність виконання податкових обов’язків у минулому, відсутність заборгованості зі сплати податків та зборів, обсяги податкових відрахувань, наявність експортно-імпортної складової в діяльності платника та інше.</w:t>
            </w:r>
          </w:p>
          <w:p w:rsidR="009E2FD7" w:rsidRDefault="009E2FD7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E2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(пропозиція нової редакції норми ПКУ </w:t>
            </w:r>
            <w:r w:rsidRPr="009E2F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9E2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DF5FEC" w:rsidRDefault="00DF5FEC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(АТ «Рудь»)</w:t>
            </w:r>
          </w:p>
          <w:p w:rsidR="00DF5FEC" w:rsidRDefault="00DF5FEC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також враховуватися високий рівень заробітної плати, прибутковість бізнесу, розмір сплачених податків, обсяг валютних надходжень</w:t>
            </w:r>
          </w:p>
          <w:p w:rsidR="00DF5FEC" w:rsidRDefault="00DF5FEC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(пропозиція нової редакції норми ПКУ </w:t>
            </w:r>
            <w:r w:rsidRPr="00DF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6C4761" w:rsidRDefault="006C4761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(ТОВ «Нетпік»)</w:t>
            </w:r>
          </w:p>
          <w:p w:rsidR="006C4761" w:rsidRDefault="006C4761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Надати можливість «ручного» включення до Переліку компаній, які мають історичні але неактуальні порушення, що не підпадають під 12-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місячний період оцінки.</w:t>
            </w:r>
          </w:p>
          <w:p w:rsidR="006C4761" w:rsidRPr="006C4761" w:rsidRDefault="006C4761" w:rsidP="00D96912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(пропозиція нової редакції норми ПКУ </w:t>
            </w:r>
            <w:r w:rsidRPr="00DF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6D2677" w:rsidP="00222569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Pr="00226EEF" w:rsidRDefault="00226EEF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підтримується</w:t>
            </w:r>
          </w:p>
        </w:tc>
      </w:tr>
      <w:tr w:rsidR="00F252AA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2AA" w:rsidRDefault="00F252AA" w:rsidP="005936B1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2AA" w:rsidRDefault="00F252AA" w:rsidP="00F252AA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(АТ «Рудь»</w:t>
            </w:r>
            <w:r w:rsidR="008E4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, ТОВ «Нетпік»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F252AA" w:rsidRDefault="00F252AA" w:rsidP="00F252AA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невідповідність критерію відсутності виявлених порушень податкового законодавства протягом останніх 3-х років має “ліквідовуватися” після сплати штрафних санкцій за такі порушення; </w:t>
            </w:r>
          </w:p>
          <w:p w:rsidR="00D96912" w:rsidRDefault="00F252AA" w:rsidP="00F252AA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4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враховувати як дискваліфікуючу підставу ті ППР, які були добровільно сплачені платником, особливо якщо йдеться про технічні або незначні порушення, що не мають ознак системності.</w:t>
            </w:r>
            <w:r w:rsidR="00D96912"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F252AA" w:rsidRDefault="00D96912" w:rsidP="00F252AA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(пропозиція нової редакції норми ПКУ </w:t>
            </w:r>
            <w:r w:rsidRPr="00DF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2AA" w:rsidRDefault="00F252AA" w:rsidP="00222569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2AA" w:rsidRDefault="008D71F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Підтримується в редакції:</w:t>
            </w:r>
          </w:p>
          <w:p w:rsidR="008D71F4" w:rsidRPr="000323A9" w:rsidRDefault="008D71F4" w:rsidP="003D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«г) 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 більше трьох</w:t>
            </w:r>
            <w:r w:rsidR="00200353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фактів 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винесених протягом останніх 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шести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місяців щодо платника податку податкових повідомлень-рішень 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про</w:t>
            </w:r>
            <w:r w:rsidR="00DE49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200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порушення платником податків податкових обов’язків щодо подання звітності та/або документів (повідомлень), у тому числі передбачених </w:t>
            </w:r>
            <w:r w:rsidR="00200353"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статтями 39</w:t>
            </w:r>
            <w:r w:rsidR="00200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і </w:t>
            </w:r>
            <w:hyperlink r:id="rId8" w:anchor="n18466">
              <w:r w:rsidR="00200353" w:rsidRPr="00F85A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39</w:t>
              </w:r>
            </w:hyperlink>
            <w:hyperlink r:id="rId9" w:anchor="n18466">
              <w:r w:rsidR="00200353" w:rsidRPr="00F85A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vertAlign w:val="superscript"/>
                </w:rPr>
                <w:t>-</w:t>
              </w:r>
            </w:hyperlink>
            <w:r w:rsidR="00200353"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="00200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200353"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пунктом 46.2</w:t>
            </w:r>
            <w:r w:rsidR="00200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статті 46 цього Кодексу;</w:t>
            </w:r>
            <w:r w:rsidR="00DE4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цілей застосування положень </w:t>
            </w:r>
            <w:r w:rsidR="00DE4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цьо</w:t>
            </w:r>
            <w:r w:rsidR="00DE4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підпункту</w:t>
            </w:r>
            <w:r w:rsidR="00DE4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винесені 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податков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і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повідомлення-рішен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 xml:space="preserve">ня повинні бути узгоджені та 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сплачені станом на дату формування Переліку платників податків з високим рівнем добровільного дотримання податкового законодавства</w:t>
            </w:r>
            <w:r w:rsid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»</w:t>
            </w:r>
            <w:r w:rsidR="003D1C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5936B1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6B1" w:rsidRDefault="005936B1" w:rsidP="005936B1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ґ) відсутність винесених щодо платника податку податкових повідомлень-рішень про порушення граничних строків розрахунків за операціями з експорту та/або імпорту товарів протягом останніх 12 місяців;</w:t>
            </w:r>
          </w:p>
          <w:p w:rsidR="005936B1" w:rsidRDefault="005936B1" w:rsidP="005936B1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1EB" w:rsidRDefault="005201EB" w:rsidP="005201EB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041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Європейська бізнес асоціація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201EB" w:rsidRDefault="005201EB" w:rsidP="005201EB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Встановити допустиму межу у 10% незавершених валютних розрахунків за експортними операціями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01EB" w:rsidRDefault="005201EB" w:rsidP="005201EB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5936B1" w:rsidRDefault="005201EB" w:rsidP="005936B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93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ґ) </w:t>
            </w:r>
            <w:r w:rsidR="00593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сума неотриманих грошових коштів за операціями з експорту товарів, що були здійснені протягом попередніх 12 місяців, за якими банком (банками) не був завершений валютний нагляд за дотриманням платником податку - резидентом установлених Національним банком України граничних строків розрахунків (після їх закінчення), не перевищує </w:t>
            </w:r>
            <w:r w:rsidR="00593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відсотків загальної суми операцій з вивезення за межі митної території України у митному режимі експорту товарів, щодо яких закінчилися встановлені Національним банком України</w:t>
            </w:r>
          </w:p>
          <w:p w:rsidR="005936B1" w:rsidRDefault="005936B1" w:rsidP="005936B1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граничні строки розрахунків.</w:t>
            </w:r>
          </w:p>
          <w:p w:rsidR="005936B1" w:rsidRPr="005201EB" w:rsidRDefault="005936B1" w:rsidP="005936B1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розрахунку частки неотриманих грошових коштів за операціями з експорту товарів та визначення переліку платників податків, які відповідають вимогам цього підпункту, визначаються Кабінетом Міністрів України;</w:t>
            </w:r>
            <w:r w:rsidR="0052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6B1" w:rsidRDefault="00C81FAC" w:rsidP="00C81FAC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Не підтримується </w:t>
            </w:r>
            <w:r w:rsidRPr="00C81F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підстав зазначених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1F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попередньому пункті.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6B1" w:rsidRPr="005201EB" w:rsidRDefault="005201EB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Підтримується 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і) відсутність змін щодо основного виду економічної діяльності, внесених щодо платника податків до Єдиного державного реєстру юридичних осіб, фізичних осіб – підприємців та громадських формувань протягом останніх послідовних 12 календарних місяців.</w:t>
            </w:r>
          </w:p>
          <w:p w:rsidR="00E76095" w:rsidRDefault="008417F4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194" w:rsidRPr="008B6194" w:rsidRDefault="008B6194" w:rsidP="008B619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B6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Дніпропетровська обласна організація роботодавців АПК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8B6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Громадська рада при ГУ ДПС у Дніпропетровській області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FA7BC7" w:rsidRDefault="008B6194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поширювати  на сільгосппідприємства</w:t>
            </w:r>
            <w:r w:rsidR="00FA7BC7" w:rsidRPr="00FA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BC7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критерію «і</w:t>
            </w:r>
            <w:r w:rsidR="00FA7B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8B6194" w:rsidRPr="00FA7BC7" w:rsidRDefault="00FA7BC7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КУ </w:t>
            </w:r>
            <w:r w:rsidRPr="00CB6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FA7BC7" w:rsidRDefault="00FA7BC7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11F4" w:rsidRDefault="007C11F4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041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Європейська бізнес асоціація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C11F4" w:rsidRDefault="007C11F4" w:rsidP="007C11F4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Дозволити разову зміну основного виду діяльності без втрати статусу сумлінного платника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1F4" w:rsidRDefault="007C11F4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FA7BC7" w:rsidRDefault="00FA7BC7" w:rsidP="00FA7BC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і) відсутність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повторних/регулярних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 щодо основного виду економічної діяльності, внесених щодо платника податків до Єдиного державного реєстру юридичних осіб, фізичних осіб - підприємців та громадських формувань.</w:t>
            </w:r>
          </w:p>
          <w:p w:rsidR="00FA7BC7" w:rsidRDefault="00FA7BC7" w:rsidP="00FA7BC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цілей застосування положень цього пункту під повторними/ регулярними змінами розуміється зміна основного виду економічної діяльності більше ніж один раз протягом останніх послідовних 12 календарних місяців.</w:t>
            </w:r>
          </w:p>
          <w:p w:rsidR="00E76095" w:rsidRPr="00FA7BC7" w:rsidRDefault="00FA7BC7" w:rsidP="00FA7BC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Положення цього пункту не застосовуються у разі, якщо відбувається зміна лише щодо ознаки «основного» виду економічної діяльності з переліку всіх видів (кодів), що були наявними у платника податку протягом останніх послідовних 12 календарних місяців та в результаті такої зміни не з’являється новий вид економічної діяльності.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32" w:rsidRPr="00BC6432" w:rsidRDefault="00BC6432" w:rsidP="00BC64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Не підтримується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огляду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недопущення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маніпуляцій із основним видом діяльності 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метою вибору галузі з нижчим рівнем сплати.</w:t>
            </w:r>
          </w:p>
          <w:p w:rsidR="00BC6432" w:rsidRPr="00BC6432" w:rsidRDefault="00BC6432" w:rsidP="00BC64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Критерій встановлювався з метою запобігання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можливо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стю маніпулювати розрахунковими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показниками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передбаченими підпунктом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69.41.2.1 підпункту 69.41.2. розділу ХХ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«Перехідні положення» Кодексу.</w:t>
            </w:r>
          </w:p>
          <w:p w:rsidR="00BC6432" w:rsidRPr="00BC6432" w:rsidRDefault="00BC6432" w:rsidP="00BC64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Невідповідність платників податків вимогам</w:t>
            </w:r>
            <w:r w:rsidR="00A95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та критері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ям, які встановлені до платників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 з високим рівнем добровільного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податкового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законодавства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жодним</w:t>
            </w:r>
            <w:r w:rsidR="00A95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чином не обмежує їх господарську діяльність.</w:t>
            </w:r>
          </w:p>
          <w:p w:rsidR="00BC6432" w:rsidRPr="00BC6432" w:rsidRDefault="00BC6432" w:rsidP="00BC64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Крім того,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платники податків за рахунок</w:t>
            </w:r>
            <w:r w:rsidR="00A95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покращення свого рівня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податкового законодавства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можуть бути</w:t>
            </w:r>
            <w:r w:rsidR="00A95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включені до переліку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платників податків з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високим рівнем добровільного дотримання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податкового законодавства який формується та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затверджується ДПС щоквартально.</w:t>
            </w:r>
          </w:p>
          <w:p w:rsidR="009B70DC" w:rsidRPr="009B70DC" w:rsidRDefault="00BC6432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 звернути увагу для прикладу, за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результатом обрахунку показників рівня сплати з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70DC"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податку на прибуток за 2024 рік </w:t>
            </w:r>
            <w:r w:rsidR="009B70DC"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(Інформація з</w:t>
            </w:r>
            <w:r w:rsid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B70DC"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сайту ДПС «Територія високого рівня податкової</w:t>
            </w:r>
            <w:r w:rsid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B70DC"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довіри» =&gt; «Галузева аналітика».</w:t>
            </w:r>
            <w:r w:rsid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B70DC"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https://tpd.tax.gov.ua/analytics)</w:t>
            </w:r>
            <w:r w:rsidR="009B70DC"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КВЕД _01.11 </w:t>
            </w:r>
            <w:r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«Вирощування зернових культур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(крім рису), бобових культур і насіння олійних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культур» -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2,17%;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КВЕД _01.50 </w:t>
            </w:r>
            <w:r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«Змішане сільське господарство» 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1,70%.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 чином, підприємство з рівнем сплати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 на прибуток 2,15% матиме можливість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змінити вид діяльності з 01.11 на 01.50 та бути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включеним до переліку платників і користуватися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преференціями з наступного звітного періоду.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Крім того, у ДПС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відсутній механізм для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визначення КВЕД та застосування до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платника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фінансових санкцій за невірне визначення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основного виду діяльності.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31A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Довідково: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даними ІКС ДПС станом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31.03.2025 - 226 платників податків, які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одночасно відповідають усім критеріям 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вимогам, окрім зміни КВЕД, протягом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останніх 12 календарних місяців змінювали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основний КВЕД.</w:t>
            </w:r>
          </w:p>
          <w:p w:rsidR="00E76095" w:rsidRPr="00BC6432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Питома вага сплати податків такими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платникам в податкових надходженнях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зведеного бюджету 2024 року становить 0,30 %.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C56E14" w:rsidRDefault="00C56E1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Не підтримується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 xml:space="preserve">69.41.2. Центральний орган виконавчої влади, що реалізує державну податкову політику, забезпечує формування та затвердження Переліку платників податків з високим рівнем добровільного дотримання податкового законодавства з урахуванням вимог, визначених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підпунктом 69.41.1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цього підпункту, та критеріїв, визначених цим підпунктом, не пізніше останнього робочого дня березня, травня, серпня та листопада.</w:t>
            </w:r>
          </w:p>
          <w:p w:rsidR="00E76095" w:rsidRDefault="008417F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…</w:t>
            </w:r>
          </w:p>
          <w:p w:rsidR="00E76095" w:rsidRDefault="008417F4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69.41.2.1. До Переліку платників податків з високим рівнем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добровільного дотримання податкового законодавства включаються юридичні особи, що перебувають на загальній системі оподаткування, за умови одночасної відповідності всім таким критеріям:</w:t>
            </w:r>
          </w:p>
          <w:p w:rsidR="00E76095" w:rsidRDefault="008417F4" w:rsidP="00524CAF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a) показник рівня сплати податку на прибуток підприємств дорівнює/перевищує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середній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показник у відповідній галузі за останні чотири квартали з урахуванням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пункту 137.5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статті 137 цього Кодексу;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A2" w:rsidRDefault="001728A2" w:rsidP="001728A2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041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Європейська бізнес асоціація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728A2" w:rsidRPr="001728A2" w:rsidRDefault="001728A2" w:rsidP="001728A2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розрахунок “середньоарифметичного” рівня сплати податків на “середньозважений”</w:t>
            </w:r>
            <w:r w:rsidR="005817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метою </w:t>
            </w:r>
            <w:r w:rsidR="00A337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включення до Переліку компаній, які знижуючи маржинальність своїх операцій забезпечують більші об’єми торгівлі і, як наслідок, забезпечують більшу частину податкових надходжень в абсолютному вираженні.</w:t>
            </w:r>
          </w:p>
          <w:p w:rsidR="001728A2" w:rsidRDefault="001728A2" w:rsidP="001728A2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76095" w:rsidRPr="004C5D98" w:rsidRDefault="004C5D98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показник рівня сплати податку на прибуток підприємств дорівнює/ перевищує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середньозважений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показник у відповідній галузі за останні чотири квартали з урахуванням пункту 137.5 статті 137 цього Кодексу;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735" w:rsidRPr="00E12735" w:rsidRDefault="00E12735" w:rsidP="00E12735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Не підтримується.</w:t>
            </w:r>
          </w:p>
          <w:p w:rsidR="00E12735" w:rsidRPr="00E12735" w:rsidRDefault="00E12735" w:rsidP="00E12735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Пропозиція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 внесення змін до критерію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підпункту 69.41.2.1 підпункту пункту 69.41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пункту 69 підрозділу 10 розділу ХХ «Перехідні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положення» Кодексу, в частині розрахунку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середнього по галузі, а середньозваженого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показника рівня сплати податку на прибуток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відповідній галузі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не містить методики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розрахунку середньозваженого показника рівня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сплати з податку на прибуток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що не дає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можливості визначити формулу та метод такого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розрахунку і, відповідно, застосувати такі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розрахунки для аналізу впливу зміни методики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показника рівня сплати податку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 підприємств у відповідній галузі.</w:t>
            </w:r>
          </w:p>
          <w:p w:rsidR="00E76095" w:rsidRDefault="00E12735" w:rsidP="00E12735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Наявний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станом на сьогодні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підхід щодо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розрахунку середньоарифметичного показника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рівня сплати з податку на прибуток забезпечує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однаковий, виважений підхід його розрахунку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для всіх суб’єктів господарювання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незалежно 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специфіки та особливостей діяльності будь-якого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</w:p>
          <w:p w:rsidR="00E76095" w:rsidRDefault="00E76095" w:rsidP="00222569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C24969" w:rsidRDefault="00C24969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Не підтримується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71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в) показник середньомісячної нарахованої та/або виплаченої податковим агентом - юридичною особою заробітної плати за останні чотири звітні (податкові) періоди становить не менше середньої заробітної плати у відповідній галузі у відповідному регіоні, помноженої на коефіцієнт 1,1, за умови що середньомісячна чисельність працюючих за зазначений період становить не менше п’яти осіб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F2F" w:rsidRDefault="00551F2F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51F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ПрАТ "Івано-Франківськцемент"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76095" w:rsidRDefault="00551F2F" w:rsidP="00551F2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мінити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розрахунок критерію для суб’єктів господарювання, що є єдиним представником галузі в регіоні;</w:t>
            </w:r>
          </w:p>
          <w:p w:rsidR="00263DCD" w:rsidRDefault="00263DCD" w:rsidP="00713190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A0F81" w:rsidRPr="007A0F81" w:rsidRDefault="007A0F81" w:rsidP="00713190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A0F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Федерація роботодавців України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7A0F81" w:rsidRDefault="007A0F81" w:rsidP="007A0F8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платника податку до Переліку без застосування коефіцієнту 1,1 в разі відсутності порівняльної бази на території відповідного регіону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A0F81" w:rsidRPr="00FA7BC7" w:rsidRDefault="007A0F81" w:rsidP="007A0F8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КУ </w:t>
            </w:r>
            <w:r w:rsidRPr="00CB6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263DCD" w:rsidRDefault="00263DCD" w:rsidP="007A0F8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76095" w:rsidRPr="00263DCD" w:rsidRDefault="00263DCD" w:rsidP="007A0F8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263D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Державна податкова служба України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263DCD" w:rsidRDefault="00E822BE" w:rsidP="00E822BE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 метою уточнення податкового (звітного) періоду, за який використовується податкова звітність платника під час розрахунку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показник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середньомісячної нарахованої та/або виплаченої податковим агентом - юридичною особою заробітної плати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слова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чотири звітні (податкові) періоди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» замінити на </w:t>
            </w:r>
            <w:r w:rsidR="001205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цифри і слова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«</w:t>
            </w:r>
            <w:r w:rsidR="001205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 звітних (податкових) місяців</w:t>
            </w:r>
            <w:r w:rsidR="001205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».</w:t>
            </w:r>
          </w:p>
          <w:p w:rsidR="001205D9" w:rsidRDefault="001205D9" w:rsidP="001205D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1205D9" w:rsidRPr="001205D9" w:rsidRDefault="00CE20F5" w:rsidP="00CE20F5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«у підпункті «в» підпункту 69.41.2.1, підпункті «б» підпункту 69.41.2.3, підпункті «в» підпункту 69.41.2.4, підпункті «в» підпункту 69.41.2.5, підпункті «в» підпункту 69.41.2.6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слова «</w:t>
            </w:r>
            <w:r w:rsidRPr="00CE20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чотири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звітні (податкові) </w:t>
            </w:r>
            <w:r w:rsidRPr="00CE20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періоди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» замінити цифрами і словами «</w:t>
            </w:r>
            <w:r w:rsidRPr="00CE20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звітних (податкових) </w:t>
            </w:r>
            <w:r w:rsidRPr="00CE20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місяців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»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Підтримується в редакції:</w:t>
            </w:r>
          </w:p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Пропонуємо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доповнити підпункт 69.41.2 абзацом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п’ятнадцятим такого змісту:</w:t>
            </w:r>
          </w:p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«Для платників податків, які в межах регіону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мають унікальний КВЕД, використовується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середньомісячної нарахованої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заробітної плати у відповідній галузі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Україні.».</w:t>
            </w:r>
          </w:p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Ця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зміна дозволить упорядкувати алгоритм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розрахунку середнього показника по заробітній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платі у випадку одноосібності платника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відповідній галузі у регіоні та врегульовує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ситуацію, коли платник один в регіоні і не може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досягнути критерія по заробітній платі у зв’язку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застосуванням коефіцієнту 1,1.</w:t>
            </w:r>
          </w:p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Довідково: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 даними ДПС наразі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близько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платників податків мають унікальний КВЕД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межах регіону та виду діяльності.</w:t>
            </w:r>
          </w:p>
          <w:p w:rsidR="00E76095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Питома вага сплати податків такими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платниками в податкових надходженнях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зведеного бюджету 2024 року становить 4,82%.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1205D9" w:rsidRDefault="001205D9" w:rsidP="003D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Підтримується в редакції Мінфіну та ДПС</w:t>
            </w:r>
            <w:r w:rsidR="00630F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0F1B" w:rsidRPr="00630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 доповненнями щодо розрахунку зазначеного критерію для</w:t>
            </w:r>
            <w:r w:rsidR="00630F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0F1B"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платників податків, які мають унікальний КВЕД в межах </w:t>
            </w:r>
            <w:r w:rsidR="006E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України виходячи з мінімаль</w:t>
            </w:r>
            <w:r w:rsidR="00630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ної заробітної плати помноженої на коефіцієнт</w:t>
            </w:r>
            <w:r w:rsidR="003D1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D1CEC" w:rsidRPr="009F0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5B6EF3" w:rsidRPr="009F0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</w:tbl>
    <w:p w:rsidR="00E76095" w:rsidRDefault="00E760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76095" w:rsidSect="00090584">
      <w:headerReference w:type="default" r:id="rId10"/>
      <w:pgSz w:w="16834" w:h="11909" w:orient="landscape"/>
      <w:pgMar w:top="1418" w:right="1440" w:bottom="113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716" w:rsidRDefault="00BF0716" w:rsidP="002C14E8">
      <w:pPr>
        <w:spacing w:line="240" w:lineRule="auto"/>
      </w:pPr>
      <w:r>
        <w:separator/>
      </w:r>
    </w:p>
  </w:endnote>
  <w:endnote w:type="continuationSeparator" w:id="0">
    <w:p w:rsidR="00BF0716" w:rsidRDefault="00BF0716" w:rsidP="002C1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716" w:rsidRDefault="00BF0716" w:rsidP="002C14E8">
      <w:pPr>
        <w:spacing w:line="240" w:lineRule="auto"/>
      </w:pPr>
      <w:r>
        <w:separator/>
      </w:r>
    </w:p>
  </w:footnote>
  <w:footnote w:type="continuationSeparator" w:id="0">
    <w:p w:rsidR="00BF0716" w:rsidRDefault="00BF0716" w:rsidP="002C14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4203336"/>
      <w:docPartObj>
        <w:docPartGallery w:val="Page Numbers (Top of Page)"/>
        <w:docPartUnique/>
      </w:docPartObj>
    </w:sdtPr>
    <w:sdtContent>
      <w:p w:rsidR="002C14E8" w:rsidRDefault="002C14E8">
        <w:pPr>
          <w:pStyle w:val="a6"/>
          <w:jc w:val="center"/>
        </w:pPr>
        <w:r w:rsidRPr="003C7E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7E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7E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05B2" w:rsidRPr="009F05B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13</w:t>
        </w:r>
        <w:r w:rsidRPr="003C7E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14E8" w:rsidRDefault="002C14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95"/>
    <w:rsid w:val="000323A9"/>
    <w:rsid w:val="00041B26"/>
    <w:rsid w:val="00090584"/>
    <w:rsid w:val="00097B20"/>
    <w:rsid w:val="000A1371"/>
    <w:rsid w:val="000F568F"/>
    <w:rsid w:val="000F677B"/>
    <w:rsid w:val="001205D9"/>
    <w:rsid w:val="001323AB"/>
    <w:rsid w:val="001728A2"/>
    <w:rsid w:val="00200353"/>
    <w:rsid w:val="0021422B"/>
    <w:rsid w:val="00222569"/>
    <w:rsid w:val="00226EEF"/>
    <w:rsid w:val="00243877"/>
    <w:rsid w:val="00263DCD"/>
    <w:rsid w:val="0026751F"/>
    <w:rsid w:val="002676CE"/>
    <w:rsid w:val="002C14E8"/>
    <w:rsid w:val="002C7769"/>
    <w:rsid w:val="0034339E"/>
    <w:rsid w:val="003A2050"/>
    <w:rsid w:val="003A69BC"/>
    <w:rsid w:val="003C7E51"/>
    <w:rsid w:val="003D1CEC"/>
    <w:rsid w:val="00432591"/>
    <w:rsid w:val="00465657"/>
    <w:rsid w:val="00487B5B"/>
    <w:rsid w:val="004C5D98"/>
    <w:rsid w:val="004F05EF"/>
    <w:rsid w:val="005201EB"/>
    <w:rsid w:val="00524CAF"/>
    <w:rsid w:val="00551F2F"/>
    <w:rsid w:val="00574926"/>
    <w:rsid w:val="00581732"/>
    <w:rsid w:val="005936B1"/>
    <w:rsid w:val="005B4C2B"/>
    <w:rsid w:val="005B6EF3"/>
    <w:rsid w:val="00625869"/>
    <w:rsid w:val="00630F1B"/>
    <w:rsid w:val="006A095D"/>
    <w:rsid w:val="006A5BF3"/>
    <w:rsid w:val="006C4761"/>
    <w:rsid w:val="006D2677"/>
    <w:rsid w:val="006E203B"/>
    <w:rsid w:val="006F3996"/>
    <w:rsid w:val="00713190"/>
    <w:rsid w:val="00731A3F"/>
    <w:rsid w:val="00774D45"/>
    <w:rsid w:val="007A0F81"/>
    <w:rsid w:val="007C11F4"/>
    <w:rsid w:val="008417F4"/>
    <w:rsid w:val="008B6194"/>
    <w:rsid w:val="008D5B38"/>
    <w:rsid w:val="008D71F4"/>
    <w:rsid w:val="008E4FF6"/>
    <w:rsid w:val="00930EFF"/>
    <w:rsid w:val="009A74DF"/>
    <w:rsid w:val="009B70DC"/>
    <w:rsid w:val="009D16D1"/>
    <w:rsid w:val="009E2FD7"/>
    <w:rsid w:val="009F05B2"/>
    <w:rsid w:val="00A16E77"/>
    <w:rsid w:val="00A32703"/>
    <w:rsid w:val="00A3373C"/>
    <w:rsid w:val="00A420E8"/>
    <w:rsid w:val="00A62F4B"/>
    <w:rsid w:val="00A95E19"/>
    <w:rsid w:val="00B137E5"/>
    <w:rsid w:val="00BC6432"/>
    <w:rsid w:val="00BF0716"/>
    <w:rsid w:val="00C1410C"/>
    <w:rsid w:val="00C24969"/>
    <w:rsid w:val="00C56E14"/>
    <w:rsid w:val="00C81FAC"/>
    <w:rsid w:val="00CB6B6B"/>
    <w:rsid w:val="00CE20F5"/>
    <w:rsid w:val="00D431BC"/>
    <w:rsid w:val="00D86CFF"/>
    <w:rsid w:val="00D96912"/>
    <w:rsid w:val="00DE4928"/>
    <w:rsid w:val="00DF5FEC"/>
    <w:rsid w:val="00E12735"/>
    <w:rsid w:val="00E15C64"/>
    <w:rsid w:val="00E450F4"/>
    <w:rsid w:val="00E76095"/>
    <w:rsid w:val="00E822BE"/>
    <w:rsid w:val="00EE1932"/>
    <w:rsid w:val="00F252AA"/>
    <w:rsid w:val="00F50597"/>
    <w:rsid w:val="00F85A29"/>
    <w:rsid w:val="00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8200B-8A5F-4BFE-B15A-79821B6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C14E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4E8"/>
  </w:style>
  <w:style w:type="paragraph" w:styleId="a8">
    <w:name w:val="footer"/>
    <w:basedOn w:val="a"/>
    <w:link w:val="a9"/>
    <w:uiPriority w:val="99"/>
    <w:unhideWhenUsed/>
    <w:rsid w:val="002C14E8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main/2755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main/2755-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main/2755-1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main/2755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2472</Words>
  <Characters>17334</Characters>
  <Application>Microsoft Office Word</Application>
  <DocSecurity>0</DocSecurity>
  <Lines>361</Lines>
  <Paragraphs>190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Древаль Лариса Павлівна</dc:creator>
  <cp:lastModifiedBy>Microsoft Office User</cp:lastModifiedBy>
  <cp:revision>2</cp:revision>
  <cp:lastPrinted>2025-05-07T11:02:00Z</cp:lastPrinted>
  <dcterms:created xsi:type="dcterms:W3CDTF">2025-05-08T09:21:00Z</dcterms:created>
  <dcterms:modified xsi:type="dcterms:W3CDTF">2025-05-08T09:21:00Z</dcterms:modified>
</cp:coreProperties>
</file>