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42C" w:rsidRPr="00AA242C" w:rsidRDefault="00AA242C" w:rsidP="00AA242C">
      <w:pPr>
        <w:jc w:val="center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AA242C">
        <w:rPr>
          <w:rFonts w:ascii="Lato" w:eastAsia="Times New Roman" w:hAnsi="Lato" w:cs="Times New Roman"/>
          <w:b/>
          <w:bCs/>
          <w:color w:val="000000" w:themeColor="text1"/>
          <w:kern w:val="0"/>
          <w:sz w:val="31"/>
          <w:szCs w:val="31"/>
          <w:lang w:eastAsia="ru-RU"/>
          <w14:ligatures w14:val="none"/>
        </w:rPr>
        <w:t>ДЕРЖАВНА РЕГУЛЯТОРНА СЛУЖБА УКРАЇНИ</w:t>
      </w:r>
    </w:p>
    <w:p w:rsidR="00AA242C" w:rsidRPr="00AA242C" w:rsidRDefault="00AA242C" w:rsidP="00AA242C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3"/>
          <w:szCs w:val="33"/>
          <w:lang w:eastAsia="ru-RU"/>
          <w14:ligatures w14:val="none"/>
        </w:rPr>
      </w:pPr>
      <w:r w:rsidRPr="00AA242C">
        <w:rPr>
          <w:rFonts w:ascii="Lato" w:eastAsia="Times New Roman" w:hAnsi="Lato" w:cs="Times New Roman"/>
          <w:b/>
          <w:bCs/>
          <w:color w:val="000000" w:themeColor="text1"/>
          <w:kern w:val="0"/>
          <w:sz w:val="33"/>
          <w:szCs w:val="33"/>
          <w:lang w:eastAsia="ru-RU"/>
          <w14:ligatures w14:val="none"/>
        </w:rPr>
        <w:t>НАКАЗ</w:t>
      </w:r>
    </w:p>
    <w:p w:rsidR="00AA242C" w:rsidRPr="00AA242C" w:rsidRDefault="00AA242C" w:rsidP="00AA242C">
      <w:pPr>
        <w:jc w:val="center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AA242C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від 14 листопада 2025 року N 189</w:t>
      </w:r>
    </w:p>
    <w:p w:rsidR="00AA242C" w:rsidRPr="00AA242C" w:rsidRDefault="00AA242C" w:rsidP="00AA242C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3"/>
          <w:szCs w:val="33"/>
          <w:lang w:eastAsia="ru-RU"/>
          <w14:ligatures w14:val="none"/>
        </w:rPr>
      </w:pPr>
      <w:r w:rsidRPr="00AA242C">
        <w:rPr>
          <w:rFonts w:ascii="Lato" w:eastAsia="Times New Roman" w:hAnsi="Lato" w:cs="Times New Roman"/>
          <w:b/>
          <w:bCs/>
          <w:color w:val="000000" w:themeColor="text1"/>
          <w:kern w:val="0"/>
          <w:sz w:val="33"/>
          <w:szCs w:val="33"/>
          <w:lang w:eastAsia="ru-RU"/>
          <w14:ligatures w14:val="none"/>
        </w:rPr>
        <w:t>Про затвердження Плану здійснення комплексних заходів державного нагляду (контролю) органів державного нагляду (контролю) на 2026 рік</w:t>
      </w:r>
    </w:p>
    <w:p w:rsidR="00AA242C" w:rsidRPr="00AA242C" w:rsidRDefault="00AA242C" w:rsidP="00AA242C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З метою забезпечення виконання положень </w:t>
      </w:r>
      <w:hyperlink r:id="rId4" w:tgtFrame="_blank" w:history="1">
        <w:r w:rsidRPr="00AA242C">
          <w:rPr>
            <w:rFonts w:ascii="Lato" w:eastAsia="Times New Roman" w:hAnsi="Lato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статті 5 Закону України "Про основні засади державного нагляду (контролю) у сфері господарської діяльності"</w:t>
        </w:r>
      </w:hyperlink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 та на виконання Вимог до оформлення річних та комплексного планів здійснення заходів державного нагляду (контролю), унесення змін до них та звіту щодо їх виконання, затверджених спільним </w:t>
      </w:r>
      <w:hyperlink r:id="rId5" w:tgtFrame="_blank" w:history="1">
        <w:r w:rsidRPr="00AA242C">
          <w:rPr>
            <w:rFonts w:ascii="Lato" w:eastAsia="Times New Roman" w:hAnsi="Lato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наказом Міністерства економічного розвитку і торгівлі України та Державної регуляторної служби України від 07.08.2017 N 1170/81</w:t>
        </w:r>
      </w:hyperlink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, зареєстрованим в Міністерстві юстиції України 28.08.2017 за N 1053/30921, </w:t>
      </w:r>
      <w:r w:rsidRPr="00AA242C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наказую</w:t>
      </w:r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:</w:t>
      </w:r>
    </w:p>
    <w:p w:rsidR="00AA242C" w:rsidRPr="00AA242C" w:rsidRDefault="00AA242C" w:rsidP="00AA242C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1. Затвердити </w:t>
      </w:r>
      <w:hyperlink r:id="rId6" w:tgtFrame="_blank" w:history="1">
        <w:r w:rsidRPr="00AA242C">
          <w:rPr>
            <w:rFonts w:ascii="Lato" w:eastAsia="Times New Roman" w:hAnsi="Lato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План здійснення комплексних заходів державного нагляду (контролю) органів державного нагляду (контролю) на 2026 рік</w:t>
        </w:r>
      </w:hyperlink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 (далі - План), що додається (тільки в електронному вигляді) (див. окремо в базі).</w:t>
      </w:r>
    </w:p>
    <w:p w:rsidR="00AA242C" w:rsidRPr="00AA242C" w:rsidRDefault="00AA242C" w:rsidP="00AA242C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2. Департаменту державного нагляду (контролю) (Арустамяну Е. М.) забезпечити розміщення цього наказу в Інтегрованій автоматизованій системі державного нагляду (контролю).</w:t>
      </w:r>
    </w:p>
    <w:p w:rsidR="00AA242C" w:rsidRPr="00AA242C" w:rsidRDefault="00AA242C" w:rsidP="00AA242C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3. Управлінню комунікацій та міжнародного співробітництва (Морозовій А. В.) забезпечити розміщення </w:t>
      </w:r>
      <w:hyperlink r:id="rId7" w:tgtFrame="_blank" w:history="1">
        <w:r w:rsidRPr="00AA242C">
          <w:rPr>
            <w:rFonts w:ascii="Lato" w:eastAsia="Times New Roman" w:hAnsi="Lato" w:cs="Times New Roman"/>
            <w:color w:val="000000" w:themeColor="text1"/>
            <w:kern w:val="0"/>
            <w:sz w:val="27"/>
            <w:szCs w:val="27"/>
            <w:lang w:eastAsia="ru-RU"/>
            <w14:ligatures w14:val="none"/>
          </w:rPr>
          <w:t>Плану</w:t>
        </w:r>
      </w:hyperlink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 на офіційному вебсайті Державної регуляторної служби України.</w:t>
      </w:r>
    </w:p>
    <w:p w:rsidR="00AA242C" w:rsidRPr="00AA242C" w:rsidRDefault="00AA242C" w:rsidP="00AA242C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4. Контроль за виконанням цього наказу залишаю за собою.</w:t>
      </w:r>
    </w:p>
    <w:p w:rsidR="00AA242C" w:rsidRPr="00AA242C" w:rsidRDefault="00AA242C" w:rsidP="00AA242C">
      <w:pPr>
        <w:jc w:val="both"/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AA242C">
        <w:rPr>
          <w:rFonts w:ascii="Lato" w:eastAsia="Times New Roman" w:hAnsi="Lato" w:cs="Times New Roman"/>
          <w:color w:val="000000" w:themeColor="text1"/>
          <w:kern w:val="0"/>
          <w:sz w:val="27"/>
          <w:szCs w:val="27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A242C" w:rsidRPr="00AA242C">
        <w:tc>
          <w:tcPr>
            <w:tcW w:w="2500" w:type="pct"/>
            <w:vAlign w:val="center"/>
            <w:hideMark/>
          </w:tcPr>
          <w:p w:rsidR="00AA242C" w:rsidRPr="00AA242C" w:rsidRDefault="00AA242C" w:rsidP="00AA24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A24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</w:t>
            </w:r>
          </w:p>
        </w:tc>
        <w:tc>
          <w:tcPr>
            <w:tcW w:w="2500" w:type="pct"/>
            <w:vAlign w:val="center"/>
            <w:hideMark/>
          </w:tcPr>
          <w:p w:rsidR="00AA242C" w:rsidRPr="00AA242C" w:rsidRDefault="00AA242C" w:rsidP="00AA24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AA24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Олексій КУЧЕР</w:t>
            </w:r>
          </w:p>
        </w:tc>
      </w:tr>
    </w:tbl>
    <w:p w:rsidR="00541FFA" w:rsidRPr="00AA242C" w:rsidRDefault="00541FFA">
      <w:pPr>
        <w:rPr>
          <w:color w:val="000000" w:themeColor="text1"/>
        </w:rPr>
      </w:pPr>
    </w:p>
    <w:sectPr w:rsidR="00541FFA" w:rsidRPr="00AA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2C"/>
    <w:rsid w:val="001949B8"/>
    <w:rsid w:val="00205B9A"/>
    <w:rsid w:val="0030199D"/>
    <w:rsid w:val="00541FFA"/>
    <w:rsid w:val="00AA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8294FFB-48AC-F541-82E0-F4F3CA68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2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4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4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4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4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2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4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4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4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4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4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4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2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4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2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2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24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24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24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2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24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242C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AA24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4">
    <w:name w:val="fs4"/>
    <w:basedOn w:val="a0"/>
    <w:rsid w:val="00AA242C"/>
  </w:style>
  <w:style w:type="paragraph" w:customStyle="1" w:styleId="tj">
    <w:name w:val="tj"/>
    <w:basedOn w:val="a"/>
    <w:rsid w:val="00AA24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AA2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XXL003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XXL00394" TargetMode="External"/><Relationship Id="rId5" Type="http://schemas.openxmlformats.org/officeDocument/2006/relationships/hyperlink" Target="https://zakon-pro.ligazakon.net/document/RE30921?ed=2020_04_06&amp;an=23" TargetMode="External"/><Relationship Id="rId4" Type="http://schemas.openxmlformats.org/officeDocument/2006/relationships/hyperlink" Target="https://zakon-pro.ligazakon.net/document/T070877?ed=2025_08_08&amp;an=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1519</Characters>
  <Application>Microsoft Office Word</Application>
  <DocSecurity>0</DocSecurity>
  <Lines>29</Lines>
  <Paragraphs>14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2025-11-17T10:51:00Z</dcterms:created>
  <dcterms:modified xsi:type="dcterms:W3CDTF">2025-11-17T10:51:00Z</dcterms:modified>
</cp:coreProperties>
</file>