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2fea" w14:textId="50d2fea">
      <w:pPr>
        <w:spacing/>
        <w:ind w:left="0"/>
        <w:jc w:val="left"/>
        <w15:collapsed w:val="false"/>
      </w:pPr>
      <w:r>
        <w:rPr>
          <w:rFonts w:ascii="Arial" w:hAnsi="Arial"/>
          <w:b w:val="false"/>
          <w:i w:val="false"/>
          <w:color w:val="000000"/>
          <w:sz w:val="18"/>
        </w:rPr>
        <w:t>Щодо обчислення страхових внесків | Законодавство | LIGA360</w:t>
      </w:r>
    </w:p>
    <w:tbl>
      <w:tblPr>
        <w:tblW w:w="0" w:type="auto"/>
        <w:tblCellSpacing w:w="0" w:type="auto"/>
        <w:tblBorders>
          <w:top w:val="single" w:color="e5e2ff" w:sz="8"/>
          <w:left w:val="none"/>
          <w:bottom w:val="none"/>
          <w:right w:val="none"/>
          <w:insideH w:val="none"/>
          <w:insideV w:val="none"/>
        </w:tblBorders>
      </w:tblPr>
      <w:tblGrid>
        <w:gridCol w:w="9690"/>
      </w:tblGrid>
      <w:tr>
        <w:trPr>
          <w:trHeight w:val="30" w:hRule="atLeast"/>
        </w:trPr>
        <w:tc>
          <w:tcPr>
            <w:tcW w:w="9690" w:type="dxa"/>
            <w:tcBorders/>
            <w:vAlign w:val="center"/>
          </w:tcPr>
          <w:p/>
        </w:tc>
      </w:tr>
    </w:tbl>
    <w:p>
      <w:pPr>
        <w:spacing w:after="75"/>
        <w:ind w:left="0"/>
        <w:jc w:val="center"/>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spacing w:after="75"/>
        <w:ind w:left="0"/>
        <w:jc w:val="center"/>
      </w:pPr>
      <w:r>
        <w:rPr>
          <w:rFonts w:ascii="Arial" w:hAnsi="Arial"/>
          <w:b/>
          <w:i w:val="false"/>
          <w:color w:val="000000"/>
          <w:sz w:val="15"/>
        </w:rPr>
        <w:t>ПЕНСІЙНИЙ ФОНД УКРАЇНИ</w:t>
      </w:r>
      <w:r>
        <w:br/>
      </w:r>
      <w:r>
        <w:rPr>
          <w:rFonts w:ascii="Arial" w:hAnsi="Arial"/>
          <w:b/>
          <w:i w:val="false"/>
          <w:color w:val="000000"/>
          <w:sz w:val="21"/>
        </w:rPr>
        <w:t>ДЕПАРТАМЕНТ З ПИТАНЬ ЦИФРОВОГО РОЗВИТКУ, ЦИФРОВИХ ТРАНСФОРМАЦІЙ І ЦИФРОВІЗАЦІЇ</w:t>
      </w:r>
    </w:p>
    <w:bookmarkEnd w:id="1"/>
    <w:bookmarkStart w:name="3" w:id="2"/>
    <w:p>
      <w:pPr>
        <w:pStyle w:val="Heading2"/>
        <w:spacing w:after="225"/>
        <w:ind w:left="0"/>
        <w:jc w:val="center"/>
      </w:pPr>
      <w:r>
        <w:rPr>
          <w:rFonts w:ascii="Arial" w:hAnsi="Arial"/>
          <w:color w:val="000000"/>
          <w:sz w:val="40"/>
        </w:rPr>
        <w:t>ЛИСТ</w:t>
      </w:r>
    </w:p>
    <w:bookmarkEnd w:id="2"/>
    <w:bookmarkStart w:name="4" w:id="3"/>
    <w:p>
      <w:pPr>
        <w:spacing w:after="75"/>
        <w:ind w:left="0"/>
        <w:jc w:val="center"/>
      </w:pPr>
      <w:r>
        <w:rPr>
          <w:rFonts w:ascii="Arial" w:hAnsi="Arial"/>
          <w:b/>
          <w:i w:val="false"/>
          <w:color w:val="000000"/>
          <w:sz w:val="24"/>
        </w:rPr>
        <w:t>від 03.09.2025 р. N 2800-060202-8/58442</w:t>
      </w:r>
    </w:p>
    <w:bookmarkEnd w:id="3"/>
    <w:bookmarkStart w:name="5" w:id="4"/>
    <w:p>
      <w:pPr>
        <w:spacing w:after="75"/>
        <w:ind w:left="0"/>
        <w:jc w:val="center"/>
      </w:pPr>
      <w:r>
        <w:rPr>
          <w:rFonts w:ascii="Arial" w:hAnsi="Arial"/>
          <w:b/>
          <w:i w:val="false"/>
          <w:color w:val="000000"/>
          <w:sz w:val="24"/>
        </w:rPr>
        <w:t>(Витяг)</w:t>
      </w:r>
    </w:p>
    <w:bookmarkEnd w:id="4"/>
    <w:bookmarkStart w:name="6" w:id="5"/>
    <w:p>
      <w:pPr>
        <w:spacing w:after="75"/>
        <w:ind w:firstLine="240"/>
        <w:jc w:val="both"/>
      </w:pPr>
      <w:r>
        <w:rPr>
          <w:rFonts w:ascii="Arial" w:hAnsi="Arial"/>
          <w:b w:val="false"/>
          <w:i w:val="false"/>
          <w:color w:val="000000"/>
          <w:sz w:val="24"/>
        </w:rPr>
        <w:t>Розглянувши [...] запит [...] повідомляємо.</w:t>
      </w:r>
    </w:p>
    <w:bookmarkEnd w:id="5"/>
    <w:bookmarkStart w:name="7" w:id="6"/>
    <w:p>
      <w:pPr>
        <w:spacing w:after="75"/>
        <w:ind w:firstLine="240"/>
        <w:jc w:val="both"/>
      </w:pPr>
      <w:r>
        <w:rPr>
          <w:rFonts w:ascii="Arial" w:hAnsi="Arial"/>
          <w:b w:val="false"/>
          <w:i w:val="false"/>
          <w:color w:val="000000"/>
          <w:sz w:val="24"/>
        </w:rPr>
        <w:t>&amp;lt;...&gt;</w:t>
      </w:r>
    </w:p>
    <w:bookmarkEnd w:id="6"/>
    <w:bookmarkStart w:name="8" w:id="7"/>
    <w:p>
      <w:pPr>
        <w:spacing w:after="75"/>
        <w:ind w:firstLine="240"/>
        <w:jc w:val="both"/>
      </w:pPr>
      <w:r>
        <w:rPr>
          <w:rFonts w:ascii="Arial" w:hAnsi="Arial"/>
          <w:b w:val="false"/>
          <w:i w:val="false"/>
          <w:color w:val="000000"/>
          <w:sz w:val="24"/>
        </w:rPr>
        <w:t xml:space="preserve">З 01.01.2004 набрав чинності </w:t>
      </w:r>
      <w:r>
        <w:rPr>
          <w:rFonts w:ascii="Arial" w:hAnsi="Arial"/>
          <w:b w:val="false"/>
          <w:i w:val="false"/>
          <w:color w:val="293a55"/>
          <w:sz w:val="24"/>
        </w:rPr>
        <w:t>Закон України від 09.07.2003 N 1058-IV "Про загальнообов'язкове державне пенсійне страхування"</w:t>
      </w:r>
      <w:r>
        <w:rPr>
          <w:rFonts w:ascii="Arial" w:hAnsi="Arial"/>
          <w:b w:val="false"/>
          <w:i w:val="false"/>
          <w:color w:val="000000"/>
          <w:sz w:val="24"/>
        </w:rPr>
        <w:t xml:space="preserve"> (далі - Закон N 1058).</w:t>
      </w:r>
    </w:p>
    <w:bookmarkEnd w:id="7"/>
    <w:bookmarkStart w:name="9" w:id="8"/>
    <w:p>
      <w:pPr>
        <w:spacing w:after="75"/>
        <w:ind w:firstLine="240"/>
        <w:jc w:val="both"/>
      </w:pPr>
      <w:r>
        <w:rPr>
          <w:rFonts w:ascii="Arial" w:hAnsi="Arial"/>
          <w:b w:val="false"/>
          <w:i w:val="false"/>
          <w:color w:val="293a55"/>
          <w:sz w:val="24"/>
        </w:rPr>
        <w:t>Статтею 24 Закону N 1058</w:t>
      </w:r>
      <w:r>
        <w:rPr>
          <w:rFonts w:ascii="Arial" w:hAnsi="Arial"/>
          <w:b w:val="false"/>
          <w:i w:val="false"/>
          <w:color w:val="000000"/>
          <w:sz w:val="24"/>
        </w:rPr>
        <w:t xml:space="preserve"> визначено, що страховий стаж -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bookmarkEnd w:id="8"/>
    <w:bookmarkStart w:name="10" w:id="9"/>
    <w:p>
      <w:pPr>
        <w:spacing w:after="75"/>
        <w:ind w:firstLine="240"/>
        <w:jc w:val="both"/>
      </w:pPr>
      <w:r>
        <w:rPr>
          <w:rFonts w:ascii="Arial" w:hAnsi="Arial"/>
          <w:b w:val="false"/>
          <w:i w:val="false"/>
          <w:color w:val="000000"/>
          <w:sz w:val="24"/>
        </w:rPr>
        <w:t xml:space="preserve">Відповідно до </w:t>
      </w:r>
      <w:r>
        <w:rPr>
          <w:rFonts w:ascii="Arial" w:hAnsi="Arial"/>
          <w:b w:val="false"/>
          <w:i w:val="false"/>
          <w:color w:val="293a55"/>
          <w:sz w:val="24"/>
        </w:rPr>
        <w:t>Закону України від 08.07.2010 N 2464-VI "Про збір та облік єдиного внеску на загальнообов'язкове державне соціальне страхування"</w:t>
      </w:r>
      <w:r>
        <w:rPr>
          <w:rFonts w:ascii="Arial" w:hAnsi="Arial"/>
          <w:b w:val="false"/>
          <w:i w:val="false"/>
          <w:color w:val="000000"/>
          <w:sz w:val="24"/>
        </w:rPr>
        <w:t xml:space="preserve"> (далі - Закон N 2464) Пенсійний фонд України відповідно до покладених на нього завдань формує та веде реєстр застрахованих осіб Державного реєстру загальнообов'язкового державного соціального страхування (далі - реєстр застрахованих осіб).</w:t>
      </w:r>
    </w:p>
    <w:bookmarkEnd w:id="9"/>
    <w:bookmarkStart w:name="11" w:id="10"/>
    <w:p>
      <w:pPr>
        <w:spacing w:after="75"/>
        <w:ind w:firstLine="240"/>
        <w:jc w:val="both"/>
      </w:pPr>
      <w:r>
        <w:rPr>
          <w:rFonts w:ascii="Arial" w:hAnsi="Arial"/>
          <w:b w:val="false"/>
          <w:i w:val="false"/>
          <w:color w:val="000000"/>
          <w:sz w:val="24"/>
        </w:rPr>
        <w:t>Реєстр застрахованих осіб складається з електронних облікових карток застрахованих осіб, до яких включаються відомості про застрахованих осіб, інформація про набуття прав на одержання страхових виплат за всіма видами загальнообов'язкового державного соціального страхування та інформація про виплати за всіма видами загальнообов'язкового державного соціального страхування.</w:t>
      </w:r>
    </w:p>
    <w:bookmarkEnd w:id="10"/>
    <w:bookmarkStart w:name="12" w:id="11"/>
    <w:p>
      <w:pPr>
        <w:spacing w:after="75"/>
        <w:ind w:firstLine="240"/>
        <w:jc w:val="both"/>
      </w:pPr>
      <w:r>
        <w:rPr>
          <w:rFonts w:ascii="Arial" w:hAnsi="Arial"/>
          <w:b w:val="false"/>
          <w:i w:val="false"/>
          <w:color w:val="000000"/>
          <w:sz w:val="24"/>
        </w:rPr>
        <w:t xml:space="preserve">Дані до реєстру застрахованих осіб вносяться на підставі відомостей, що надходять з джерел, передбачених </w:t>
      </w:r>
      <w:r>
        <w:rPr>
          <w:rFonts w:ascii="Arial" w:hAnsi="Arial"/>
          <w:b w:val="false"/>
          <w:i w:val="false"/>
          <w:color w:val="293a55"/>
          <w:sz w:val="24"/>
        </w:rPr>
        <w:t>статтею 18 Закону N 2464</w:t>
      </w:r>
      <w:r>
        <w:rPr>
          <w:rFonts w:ascii="Arial" w:hAnsi="Arial"/>
          <w:b w:val="false"/>
          <w:i w:val="false"/>
          <w:color w:val="000000"/>
          <w:sz w:val="24"/>
        </w:rPr>
        <w:t>, зокрема, відомостей про нараховану заробітну плату (дохід, грошове забезпечення, допомогу, компенсацію) застрахованих осіб, на яку нараховано і з якої сплачено страхові внески, що надходять від Державної податкової служби України в порядку міжвідомчого обміну.</w:t>
      </w:r>
    </w:p>
    <w:bookmarkEnd w:id="11"/>
    <w:bookmarkStart w:name="13" w:id="12"/>
    <w:p>
      <w:pPr>
        <w:spacing w:after="75"/>
        <w:ind w:firstLine="240"/>
        <w:jc w:val="both"/>
      </w:pPr>
      <w:r>
        <w:rPr>
          <w:rFonts w:ascii="Arial" w:hAnsi="Arial"/>
          <w:b w:val="false"/>
          <w:i w:val="false"/>
          <w:color w:val="000000"/>
          <w:sz w:val="24"/>
        </w:rPr>
        <w:t xml:space="preserve">Порядком нарахування та сплати єдиного внеску на загальнообов'язкове державне соціальне страхування за деякі категорії застрахованих осіб, затвердженим </w:t>
      </w:r>
      <w:r>
        <w:rPr>
          <w:rFonts w:ascii="Arial" w:hAnsi="Arial"/>
          <w:b w:val="false"/>
          <w:i w:val="false"/>
          <w:color w:val="293a55"/>
          <w:sz w:val="24"/>
        </w:rPr>
        <w:t>постановою Кабінету Міністрів України від 02.03.2011 N 178</w:t>
      </w:r>
      <w:r>
        <w:rPr>
          <w:rFonts w:ascii="Arial" w:hAnsi="Arial"/>
          <w:b w:val="false"/>
          <w:i w:val="false"/>
          <w:color w:val="000000"/>
          <w:sz w:val="24"/>
        </w:rPr>
        <w:t xml:space="preserve"> (далі - Порядок), визначено механізм сплати єдиного внеску на загальнообов'язкове державне соціальне страхування (далі - єдиний внесок), зокрема, за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 (</w:t>
      </w:r>
      <w:r>
        <w:rPr>
          <w:rFonts w:ascii="Arial" w:hAnsi="Arial"/>
          <w:b w:val="false"/>
          <w:i w:val="false"/>
          <w:color w:val="293a55"/>
          <w:sz w:val="24"/>
        </w:rPr>
        <w:t>підпункт 2 пункту 1</w:t>
      </w:r>
      <w:r>
        <w:rPr>
          <w:rFonts w:ascii="Arial" w:hAnsi="Arial"/>
          <w:b w:val="false"/>
          <w:i w:val="false"/>
          <w:color w:val="000000"/>
          <w:sz w:val="24"/>
        </w:rPr>
        <w:t>).</w:t>
      </w:r>
    </w:p>
    <w:bookmarkEnd w:id="12"/>
    <w:bookmarkStart w:name="14" w:id="13"/>
    <w:p>
      <w:pPr>
        <w:spacing w:after="75"/>
        <w:ind w:firstLine="240"/>
        <w:jc w:val="both"/>
      </w:pPr>
      <w:r>
        <w:rPr>
          <w:rFonts w:ascii="Arial" w:hAnsi="Arial"/>
          <w:b w:val="false"/>
          <w:i w:val="false"/>
          <w:color w:val="293a55"/>
          <w:sz w:val="24"/>
        </w:rPr>
        <w:t>Підпунктом 2 пункту 4 Порядку</w:t>
      </w:r>
      <w:r>
        <w:rPr>
          <w:rFonts w:ascii="Arial" w:hAnsi="Arial"/>
          <w:b w:val="false"/>
          <w:i w:val="false"/>
          <w:color w:val="000000"/>
          <w:sz w:val="24"/>
        </w:rPr>
        <w:t xml:space="preserve"> визначено, що обчислення єдиного внеску за зазначених вище осіб, провадиться районними (міськими) управліннями соціального захисту населення, якщо виплата допомоги або компенсації проводиться такими структурними підрозділами.</w:t>
      </w:r>
    </w:p>
    <w:bookmarkEnd w:id="13"/>
    <w:bookmarkStart w:name="15" w:id="14"/>
    <w:p>
      <w:pPr>
        <w:spacing w:after="75"/>
        <w:ind w:firstLine="240"/>
        <w:jc w:val="both"/>
      </w:pPr>
      <w:r>
        <w:rPr>
          <w:rFonts w:ascii="Arial" w:hAnsi="Arial"/>
          <w:b w:val="false"/>
          <w:i w:val="false"/>
          <w:color w:val="000000"/>
          <w:sz w:val="24"/>
        </w:rPr>
        <w:t xml:space="preserve">Згідно із </w:t>
      </w:r>
      <w:r>
        <w:rPr>
          <w:rFonts w:ascii="Arial" w:hAnsi="Arial"/>
          <w:b w:val="false"/>
          <w:i w:val="false"/>
          <w:color w:val="293a55"/>
          <w:sz w:val="24"/>
        </w:rPr>
        <w:t>статтею 7 Закону N 2464</w:t>
      </w:r>
      <w:r>
        <w:rPr>
          <w:rFonts w:ascii="Arial" w:hAnsi="Arial"/>
          <w:b w:val="false"/>
          <w:i w:val="false"/>
          <w:color w:val="000000"/>
          <w:sz w:val="24"/>
        </w:rPr>
        <w:t xml:space="preserve"> нарахування та сплата єдиного внеску за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 здійснюється за рахунок коштів державного бюджету в порядку встановленому Кабінетом Міністрів України, але не менше мінімального страхового внеску за кожну особу.</w:t>
      </w:r>
    </w:p>
    <w:bookmarkEnd w:id="14"/>
    <w:bookmarkStart w:name="16" w:id="15"/>
    <w:p>
      <w:pPr>
        <w:spacing w:after="75"/>
        <w:ind w:firstLine="240"/>
        <w:jc w:val="both"/>
      </w:pPr>
      <w:r>
        <w:rPr>
          <w:rFonts w:ascii="Arial" w:hAnsi="Arial"/>
          <w:b w:val="false"/>
          <w:i w:val="false"/>
          <w:color w:val="000000"/>
          <w:sz w:val="24"/>
        </w:rPr>
        <w:t xml:space="preserve">Відповідно у звітних відомостях згідно з Порядком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Pr>
          <w:rFonts w:ascii="Arial" w:hAnsi="Arial"/>
          <w:b w:val="false"/>
          <w:i w:val="false"/>
          <w:color w:val="293a55"/>
          <w:sz w:val="24"/>
        </w:rPr>
        <w:t>постановою правління Пенсійного фонду України від 08.10.2010 N 22-2</w:t>
      </w:r>
      <w:r>
        <w:rPr>
          <w:rFonts w:ascii="Arial" w:hAnsi="Arial"/>
          <w:b w:val="false"/>
          <w:i w:val="false"/>
          <w:color w:val="000000"/>
          <w:sz w:val="24"/>
        </w:rPr>
        <w:t xml:space="preserve"> та зареєстрованого в Міністерстві юстиції України 1 листопада 2010 року за N 1014/18309 (втратив чинність 08.01.2014), та згідно з Порядком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Pr>
          <w:rFonts w:ascii="Arial" w:hAnsi="Arial"/>
          <w:b w:val="false"/>
          <w:i w:val="false"/>
          <w:color w:val="293a55"/>
          <w:sz w:val="24"/>
        </w:rPr>
        <w:t>наказом Міністерства доходів і зборів України від 09.09.2013 N 454</w:t>
      </w:r>
      <w:r>
        <w:rPr>
          <w:rFonts w:ascii="Arial" w:hAnsi="Arial"/>
          <w:b w:val="false"/>
          <w:i w:val="false"/>
          <w:color w:val="000000"/>
          <w:sz w:val="24"/>
        </w:rPr>
        <w:t xml:space="preserve"> та зареєстрованого в Міністерстві юстиції України 20 вересня 2013 року за N 1628/24160 (втратив чинність 30.04.2015), </w:t>
      </w:r>
      <w:r>
        <w:rPr>
          <w:rFonts w:ascii="Arial" w:hAnsi="Arial"/>
          <w:b w:val="false"/>
          <w:i w:val="false"/>
          <w:color w:val="293a55"/>
          <w:sz w:val="24"/>
        </w:rPr>
        <w:t>таблиці 2</w:t>
      </w:r>
      <w:r>
        <w:rPr>
          <w:rFonts w:ascii="Arial" w:hAnsi="Arial"/>
          <w:b w:val="false"/>
          <w:i w:val="false"/>
          <w:color w:val="000000"/>
          <w:sz w:val="24"/>
        </w:rPr>
        <w:t xml:space="preserve">, </w:t>
      </w:r>
      <w:r>
        <w:rPr>
          <w:rFonts w:ascii="Arial" w:hAnsi="Arial"/>
          <w:b w:val="false"/>
          <w:i w:val="false"/>
          <w:color w:val="293a55"/>
          <w:sz w:val="24"/>
        </w:rPr>
        <w:t>8 додатка 4 до цього Порядку</w:t>
      </w:r>
      <w:r>
        <w:rPr>
          <w:rFonts w:ascii="Arial" w:hAnsi="Arial"/>
          <w:b w:val="false"/>
          <w:i w:val="false"/>
          <w:color w:val="000000"/>
          <w:sz w:val="24"/>
        </w:rPr>
        <w:t xml:space="preserve"> формуються та подаються лише районними (міськими) управліннями праці та соціального захисту населення про нарахування сум єдиного внеску за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w:t>
      </w:r>
    </w:p>
    <w:bookmarkEnd w:id="15"/>
    <w:bookmarkStart w:name="17" w:id="16"/>
    <w:p>
      <w:pPr>
        <w:spacing w:after="75"/>
        <w:ind w:firstLine="240"/>
        <w:jc w:val="both"/>
      </w:pPr>
      <w:r>
        <w:rPr>
          <w:rFonts w:ascii="Arial" w:hAnsi="Arial"/>
          <w:b w:val="false"/>
          <w:i w:val="false"/>
          <w:color w:val="000000"/>
          <w:sz w:val="24"/>
        </w:rPr>
        <w:t xml:space="preserve">Аналогічна норма наявна в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Pr>
          <w:rFonts w:ascii="Arial" w:hAnsi="Arial"/>
          <w:b w:val="false"/>
          <w:i w:val="false"/>
          <w:color w:val="293a55"/>
          <w:sz w:val="24"/>
        </w:rPr>
        <w:t>наказом Міністерства фінансів України 14 квітня 2015 року N 435</w:t>
      </w:r>
      <w:r>
        <w:rPr>
          <w:rFonts w:ascii="Arial" w:hAnsi="Arial"/>
          <w:b w:val="false"/>
          <w:i w:val="false"/>
          <w:color w:val="000000"/>
          <w:sz w:val="24"/>
        </w:rPr>
        <w:t xml:space="preserve"> (втратив чинність 01.01.2022).</w:t>
      </w:r>
    </w:p>
    <w:bookmarkEnd w:id="16"/>
    <w:bookmarkStart w:name="18" w:id="17"/>
    <w:p>
      <w:pPr>
        <w:spacing w:after="75"/>
        <w:ind w:firstLine="240"/>
        <w:jc w:val="both"/>
      </w:pPr>
      <w:r>
        <w:rPr>
          <w:rFonts w:ascii="Arial" w:hAnsi="Arial"/>
          <w:b w:val="false"/>
          <w:i w:val="false"/>
          <w:color w:val="000000"/>
          <w:sz w:val="24"/>
        </w:rPr>
        <w:t>Обчислення страхових внесків за зазначених осіб провадиться на підставі бухгалтерських та інших документів, які підтверджують нарахування (обчислення) допомоги, грошового забезпечення або компенсації.</w:t>
      </w:r>
    </w:p>
    <w:bookmarkEnd w:id="17"/>
    <w:bookmarkStart w:name="19" w:id="18"/>
    <w:p>
      <w:pPr>
        <w:spacing w:after="75"/>
        <w:ind w:firstLine="240"/>
        <w:jc w:val="both"/>
      </w:pPr>
      <w:r>
        <w:rPr>
          <w:rFonts w:ascii="Arial" w:hAnsi="Arial"/>
          <w:b/>
          <w:i w:val="false"/>
          <w:color w:val="000000"/>
          <w:sz w:val="24"/>
        </w:rPr>
        <w:t>З повагою</w:t>
      </w:r>
    </w:p>
    <w:bookmarkEnd w:id="18"/>
    <w:bookmarkStart w:name="20" w:id="19"/>
    <w:p>
      <w:pPr>
        <w:spacing w:after="75"/>
        <w:ind w:firstLine="240"/>
        <w:jc w:val="both"/>
      </w:pPr>
      <w:r>
        <w:rPr>
          <w:rFonts w:ascii="Arial" w:hAnsi="Arial"/>
          <w:b/>
          <w:i w:val="false"/>
          <w:color w:val="000000"/>
          <w:sz w:val="24"/>
        </w:rPr>
        <w:t xml:space="preserve"> </w:t>
      </w:r>
    </w:p>
    <w:bookmarkEnd w:id="19"/>
    <w:tbl>
      <w:tblPr>
        <w:tblW w:w="0" w:type="auto"/>
        <w:tblCellSpacing w:w="0" w:type="auto"/>
        <w:tblBorders>
          <w:top w:val="single" w:color="e5e2ff" w:sz="8"/>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21" w:id="20"/>
          <w:p>
            <w:pPr>
              <w:spacing w:after="75"/>
              <w:ind w:left="0"/>
              <w:jc w:val="center"/>
            </w:pPr>
            <w:r>
              <w:rPr>
                <w:rFonts w:ascii="Arial" w:hAnsi="Arial"/>
                <w:b/>
                <w:i w:val="false"/>
                <w:color w:val="000000"/>
                <w:sz w:val="15"/>
              </w:rPr>
              <w:t>Директор Департаменту</w:t>
            </w:r>
          </w:p>
          <w:bookmarkEnd w:id="20"/>
        </w:tc>
        <w:tc>
          <w:tcPr>
            <w:tcW w:w="4845" w:type="dxa"/>
            <w:tcBorders/>
            <w:vAlign w:val="center"/>
          </w:tcPr>
          <w:bookmarkStart w:name="22" w:id="21"/>
          <w:p>
            <w:pPr>
              <w:spacing w:after="75"/>
              <w:ind w:left="0"/>
              <w:jc w:val="center"/>
            </w:pPr>
            <w:r>
              <w:rPr>
                <w:rFonts w:ascii="Arial" w:hAnsi="Arial"/>
                <w:b/>
                <w:i w:val="false"/>
                <w:color w:val="000000"/>
                <w:sz w:val="15"/>
              </w:rPr>
              <w:t>Олена БОНДАРЕНКО</w:t>
            </w:r>
          </w:p>
          <w:bookmarkEnd w:id="21"/>
        </w:tc>
      </w:tr>
    </w:tbl>
    <w:bookmarkStart w:name="23" w:id="22"/>
    <w:p>
      <w:pPr>
        <w:spacing w:after="75"/>
        <w:ind w:firstLine="240"/>
        <w:jc w:val="both"/>
      </w:pPr>
    </w:p>
    <w:bookmarkEnd w:id="22"/>
    <w:tbl>
      <w:tblPr>
        <w:tblW w:w="0" w:type="auto"/>
        <w:tblCellSpacing w:w="0" w:type="auto"/>
        <w:tblBorders>
          <w:top w:val="single" w:color="e5e2ff" w:sz="8"/>
          <w:left w:val="none"/>
          <w:bottom w:val="none"/>
          <w:right w:val="none"/>
          <w:insideH w:val="none"/>
          <w:insideV w:val="none"/>
        </w:tblBorders>
      </w:tblPr>
      <w:tblGrid>
        <w:gridCol w:w="8721"/>
        <w:gridCol w:w="969"/>
      </w:tblGrid>
      <w:tr>
        <w:trPr>
          <w:trHeight w:val="195" w:hRule="atLeast"/>
        </w:trPr>
        <w:tc>
          <w:tcPr>
            <w:tcW w:w="8721" w:type="dxa"/>
            <w:tcBorders/>
            <w:vAlign w:val="center"/>
          </w:tcPr>
          <w:p>
            <w:pPr>
              <w:spacing w:after="0"/>
              <w:ind w:left="0"/>
              <w:jc w:val="left"/>
            </w:pPr>
            <w:r>
              <w:rPr>
                <w:rFonts w:ascii="Arial" w:hAnsi="Arial"/>
                <w:b w:val="false"/>
                <w:i w:val="false"/>
                <w:color w:val="000000"/>
                <w:sz w:val="18"/>
              </w:rPr>
              <w:t>© ТОВ "Інформаційно-аналітичний центр "ЛІГА", 2025</w:t>
            </w:r>
            <w:r>
              <w:br/>
            </w:r>
            <w:r>
              <w:rPr>
                <w:rFonts w:ascii="Arial" w:hAnsi="Arial"/>
                <w:b w:val="false"/>
                <w:i w:val="false"/>
                <w:color w:val="000000"/>
                <w:sz w:val="18"/>
              </w:rPr>
              <w:t>© ТОВ "ЛІГА ЗАКОН", 2025</w:t>
            </w:r>
          </w:p>
        </w:tc>
        <w:tc>
          <w:tcPr>
            <w:tcW w:w="969" w:type="dxa"/>
            <w:tcBorders/>
            <w:vAlign w:val="center"/>
          </w:tcPr>
          <w:p>
            <w:pPr>
              <w:spacing w:after="0"/>
              <w:ind w:left="0"/>
              <w:jc w:val="left"/>
            </w:pPr>
          </w:p>
        </w:tc>
      </w:tr>
    </w:tbl>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uk-UA" w:eastAsia="uk-UA"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uk-UA" w:eastAsia="uk-UA"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