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587" w:rsidRDefault="00A92587" w:rsidP="00A92587">
      <w:pPr>
        <w:ind w:firstLine="567"/>
        <w:jc w:val="both"/>
        <w:rPr>
          <w:sz w:val="28"/>
          <w:szCs w:val="28"/>
          <w:lang w:val="uk-UA"/>
        </w:rPr>
      </w:pPr>
    </w:p>
    <w:p w:rsidR="00A92587" w:rsidRDefault="00A92587" w:rsidP="00A92587">
      <w:pPr>
        <w:ind w:firstLine="5529"/>
        <w:jc w:val="both"/>
        <w:rPr>
          <w:sz w:val="16"/>
          <w:szCs w:val="16"/>
          <w:lang w:val="uk-UA"/>
        </w:rPr>
      </w:pPr>
    </w:p>
    <w:p w:rsidR="00A92587" w:rsidRDefault="00A92587" w:rsidP="00A92587">
      <w:pPr>
        <w:jc w:val="center"/>
        <w:rPr>
          <w:sz w:val="28"/>
          <w:szCs w:val="28"/>
          <w:lang w:val="uk-UA"/>
        </w:rPr>
      </w:pPr>
      <w:r>
        <w:rPr>
          <w:sz w:val="28"/>
          <w:szCs w:val="28"/>
          <w:lang w:val="uk-UA"/>
        </w:rPr>
        <w:t>Індивідуальна податкова консультація</w:t>
      </w:r>
    </w:p>
    <w:p w:rsidR="00A92587" w:rsidRDefault="00A92587" w:rsidP="00A92587">
      <w:pPr>
        <w:ind w:firstLine="567"/>
        <w:jc w:val="both"/>
        <w:rPr>
          <w:sz w:val="16"/>
          <w:szCs w:val="16"/>
          <w:lang w:val="uk-UA"/>
        </w:rPr>
      </w:pPr>
    </w:p>
    <w:p w:rsidR="00A92587" w:rsidRDefault="00A92587" w:rsidP="00A92587">
      <w:pPr>
        <w:ind w:firstLine="567"/>
        <w:jc w:val="both"/>
        <w:rPr>
          <w:sz w:val="28"/>
          <w:szCs w:val="28"/>
          <w:lang w:val="uk-UA"/>
        </w:rPr>
      </w:pPr>
      <w:r>
        <w:rPr>
          <w:sz w:val="28"/>
          <w:szCs w:val="28"/>
          <w:lang w:val="uk-UA"/>
        </w:rPr>
        <w:t xml:space="preserve">Державна податкова служба України, керуючись ст. 52 Податкового кодексу України (далі – Кодекс), розглянула </w:t>
      </w:r>
      <w:r>
        <w:rPr>
          <w:color w:val="000000"/>
          <w:sz w:val="28"/>
          <w:szCs w:val="28"/>
          <w:lang w:val="uk-UA"/>
        </w:rPr>
        <w:t xml:space="preserve">звернення </w:t>
      </w:r>
      <w:r>
        <w:rPr>
          <w:sz w:val="28"/>
          <w:szCs w:val="28"/>
          <w:lang w:val="uk-UA"/>
        </w:rPr>
        <w:t>щодо оподаткування операцій з криптовалютою та їх декларування та в межах компетенції повідомляє.</w:t>
      </w:r>
    </w:p>
    <w:p w:rsidR="00A92587" w:rsidRDefault="00A92587" w:rsidP="00A92587">
      <w:pPr>
        <w:pStyle w:val="a3"/>
        <w:spacing w:before="0" w:beforeAutospacing="0" w:after="0" w:afterAutospacing="0"/>
        <w:ind w:firstLine="567"/>
        <w:jc w:val="both"/>
        <w:rPr>
          <w:rFonts w:ascii="Times New Roman" w:hAnsi="Times New Roman"/>
          <w:sz w:val="28"/>
          <w:szCs w:val="28"/>
          <w:lang w:val="uk-UA"/>
        </w:rPr>
      </w:pPr>
      <w:r>
        <w:rPr>
          <w:rFonts w:ascii="Times New Roman" w:hAnsi="Times New Roman"/>
          <w:sz w:val="28"/>
          <w:szCs w:val="28"/>
          <w:lang w:val="uk-UA"/>
        </w:rPr>
        <w:t>Платник податків у своєму зверненні зазначив, що займається майнінгом криптовалют, в результаті чого отримав біткоїни в електронному вигляді на свій крипто-гаманець.</w:t>
      </w:r>
    </w:p>
    <w:p w:rsidR="00A92587" w:rsidRDefault="00A92587" w:rsidP="00A92587">
      <w:pPr>
        <w:pStyle w:val="a3"/>
        <w:spacing w:before="0" w:beforeAutospacing="0" w:after="0" w:afterAutospacing="0"/>
        <w:ind w:firstLine="567"/>
        <w:jc w:val="both"/>
        <w:rPr>
          <w:rFonts w:ascii="Times New Roman" w:hAnsi="Times New Roman"/>
          <w:sz w:val="28"/>
          <w:szCs w:val="28"/>
          <w:lang w:val="uk-UA"/>
        </w:rPr>
      </w:pPr>
      <w:r>
        <w:rPr>
          <w:rFonts w:ascii="Times New Roman" w:hAnsi="Times New Roman"/>
          <w:sz w:val="28"/>
          <w:szCs w:val="28"/>
          <w:lang w:val="uk-UA"/>
        </w:rPr>
        <w:t>Платник податків просить надати індивідуальну податкову консультацію з питання порядку оподаткування операцій з криптовалютою та їх декларування в декларації про майновий стан і доходи (далі – декларація).</w:t>
      </w:r>
    </w:p>
    <w:p w:rsidR="00A92587" w:rsidRDefault="00A92587" w:rsidP="00A92587">
      <w:pPr>
        <w:pStyle w:val="a3"/>
        <w:spacing w:after="0"/>
        <w:jc w:val="both"/>
        <w:rPr>
          <w:rFonts w:ascii="Times New Roman" w:hAnsi="Times New Roman"/>
          <w:sz w:val="28"/>
          <w:szCs w:val="28"/>
          <w:lang w:val="uk-UA"/>
        </w:rPr>
      </w:pPr>
      <w:r>
        <w:rPr>
          <w:rFonts w:ascii="Times New Roman" w:hAnsi="Times New Roman"/>
          <w:sz w:val="28"/>
          <w:szCs w:val="28"/>
        </w:rPr>
        <w:t xml:space="preserve">       Порядок оподаткування отриманих фізичними особами доходів, зокрема визначення кола платників податку, об’єкта та бази оподаткування, ставки податку на доходи фізичних осіб (далі – податок), особливості нарахування (виплати) та оподаткування окремих видів доходів регулюється розділом IV Податкового кодексу України (далі – Кодекс). </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 xml:space="preserve">Кодексом встановлено, що фізичні особи – резиденти, які отримують доходи як з джерела їх походження в Україні, так і іноземні доходи,  є платниками податку на доходи фізичних осіб  (далі – податок) та військового збору. </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Порядок визначення бази оподаткування податком встановлений ст. 164 Кодексу, п. 164.1 якого передбачено, що базою оподаткування є загальний оподатковуваний дохід, з урахуванням особливостей, визначених розділом IV Кодексу. При цьому загальний оподатковуваний дохід – це будь-який дохід, який підлягає оподаткуванню, нарахований (виплачений, наданий) на користь платника податку протягом звітного податкового періоду. Водночас перелік доходів, які не включаються до розрахунку загального місячного (річного) оподатковуваного доходу, визначено ст. 165 Кодексу.</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Нарахування, утримання та сплата (перерахування) військового збору до бюджету здійснюються у порядку, встановленому ст. 168 Кодексу для податку, за ставкою 1,5 відсотка об’єкта оподаткування, визначеного п.п. 1.2 п. 16</w:t>
      </w:r>
      <w:r>
        <w:rPr>
          <w:rFonts w:ascii="Times New Roman" w:hAnsi="Times New Roman"/>
          <w:sz w:val="28"/>
          <w:szCs w:val="28"/>
          <w:vertAlign w:val="superscript"/>
        </w:rPr>
        <w:t>1</w:t>
      </w:r>
      <w:r>
        <w:rPr>
          <w:rFonts w:ascii="Times New Roman" w:hAnsi="Times New Roman"/>
          <w:sz w:val="28"/>
          <w:szCs w:val="28"/>
        </w:rPr>
        <w:t xml:space="preserve">  підрозділу 10 розділу ХХ Кодексу. Звільняються від оподаткування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 (п.п. 1.7 п. 16</w:t>
      </w:r>
      <w:r>
        <w:rPr>
          <w:rFonts w:ascii="Times New Roman" w:hAnsi="Times New Roman"/>
          <w:sz w:val="28"/>
          <w:szCs w:val="28"/>
          <w:vertAlign w:val="superscript"/>
        </w:rPr>
        <w:t>1</w:t>
      </w:r>
      <w:r>
        <w:rPr>
          <w:rFonts w:ascii="Times New Roman" w:hAnsi="Times New Roman"/>
          <w:sz w:val="28"/>
          <w:szCs w:val="28"/>
        </w:rPr>
        <w:t xml:space="preserve"> підрозділу 10 розділу ХХ Кодексу).</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 xml:space="preserve">Разом з тим, зауважуємо, що згідно ст. 99 Конституції України та ст. 192 Цивільного кодексу України законним платіжним засобом, обов’язковим до приймання за номінальною вартістю на всій території України, є грошова </w:t>
      </w:r>
      <w:r>
        <w:rPr>
          <w:rFonts w:ascii="Times New Roman" w:hAnsi="Times New Roman"/>
          <w:sz w:val="28"/>
          <w:szCs w:val="28"/>
        </w:rPr>
        <w:lastRenderedPageBreak/>
        <w:t>одиниця України – гривня. Іноземна валюта може використовуватися в Україні у випадках і в порядку, встановлених законом.</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 xml:space="preserve">На сьогодні криптовалюта не має визначеного правового статусу в Україні, зокрема відсутня нормативна база для її класифікації та регулювання операцій з нею. </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Разом з тим довідково повідомляємо, що з метою врегулювання правовідносин щодо обігу, зберігання, володіння, використання та проведення операцій за допомогою криптоактивів в Україні, а також визначення загальних засад функціонування та правового регулювання ринку віртуальних активів в Україні на сьогодні у Верховній Раді України зареєстровано проекти законів:</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«Про обіг криптовалюти в Україні» (реєстраційний № 7183 від 06.10.201);</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«Про стимулювання ринку криптовалют та їх похідних в Україні» (реєстраційний № 7183-1 від 10.10.2017);</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«Про внесення змін до Податкового кодексу України (щодо стимулювання ринку криптовалют та їх похідних в Україні)» (реєстраційний № 7246                            від 30.10.2017); </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«Про внесення змін до Податкового кодексу України щодо оподаткування операцій з віртуальними активами в Україні» (реєстраційний № 9083                             від 14.09.2018);</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«Про внесення змін до Податкового кодексу України щодо оподаткування операцій з віртуальними активами в Україні» (реєстраційний № 9083-1                від 27.09.2018).</w:t>
      </w:r>
    </w:p>
    <w:p w:rsidR="00A92587" w:rsidRDefault="00A92587" w:rsidP="00A92587">
      <w:pPr>
        <w:pStyle w:val="a3"/>
        <w:spacing w:after="0"/>
        <w:jc w:val="both"/>
        <w:rPr>
          <w:rFonts w:ascii="Times New Roman" w:hAnsi="Times New Roman"/>
          <w:sz w:val="28"/>
          <w:szCs w:val="28"/>
        </w:rPr>
      </w:pPr>
      <w:r>
        <w:rPr>
          <w:rFonts w:ascii="Times New Roman" w:hAnsi="Times New Roman"/>
          <w:sz w:val="28"/>
          <w:szCs w:val="28"/>
        </w:rPr>
        <w:t xml:space="preserve">       «Про внесення змін до Податкового кодексу України та деяких інших законів України щодо оподаткування операцій з криптоактивами» (реєстраційний                      №  2461 від 15.11.2019).</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Щодо подання декларації.</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 xml:space="preserve">Пунктом 49.2 ст. 49 Кодексу встановлено обов’язок  платника податків подавати податкові декларації щодо кожного окремого податку, платником якого він є, за кожний встановлений Кодексом звітний період, в якому виникають об’єкти оподаткування, або у разі наявності показників, які підлягають декларуванню, відповідно до вимог Кодексу. </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Згідно із п.п. 168.2.1 п. 168.1 ст. 168 Кодексу платник податку, що отримує доходи від особи, яка не є податковим агентом, та іноземні доходи, зобов</w:t>
      </w:r>
      <w:r>
        <w:rPr>
          <w:rFonts w:ascii="Times New Roman" w:hAnsi="Times New Roman"/>
          <w:sz w:val="28"/>
          <w:szCs w:val="28"/>
          <w:lang w:val="ru-RU"/>
        </w:rPr>
        <w:t>’</w:t>
      </w:r>
      <w:r>
        <w:rPr>
          <w:rFonts w:ascii="Times New Roman" w:hAnsi="Times New Roman"/>
          <w:sz w:val="28"/>
          <w:szCs w:val="28"/>
        </w:rPr>
        <w:t>язаний включити суму таких доходів до загального річного оподатковуваного доходу та подати податкову декларацію за наслідками звітного податкового року.</w:t>
      </w:r>
    </w:p>
    <w:p w:rsidR="00A92587" w:rsidRDefault="00A92587" w:rsidP="00A92587">
      <w:pPr>
        <w:pStyle w:val="a3"/>
        <w:spacing w:after="0"/>
        <w:ind w:right="-1" w:firstLine="567"/>
        <w:jc w:val="both"/>
        <w:rPr>
          <w:rFonts w:ascii="Times New Roman" w:hAnsi="Times New Roman"/>
          <w:sz w:val="28"/>
          <w:szCs w:val="28"/>
          <w:lang w:val="ru-RU"/>
        </w:rPr>
      </w:pPr>
      <w:r>
        <w:rPr>
          <w:rFonts w:ascii="Times New Roman" w:hAnsi="Times New Roman"/>
          <w:sz w:val="28"/>
          <w:szCs w:val="28"/>
        </w:rPr>
        <w:lastRenderedPageBreak/>
        <w:t>Відповідно до підпунктів 170.11.1 та 170.11.2 п. 170.11 ст. 170 Кодексу,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w:t>
      </w:r>
      <w:r>
        <w:rPr>
          <w:rFonts w:ascii="Times New Roman" w:hAnsi="Times New Roman"/>
          <w:sz w:val="28"/>
          <w:szCs w:val="28"/>
          <w:lang w:val="ru-RU"/>
        </w:rPr>
        <w:t>’</w:t>
      </w:r>
      <w:r>
        <w:rPr>
          <w:rFonts w:ascii="Times New Roman" w:hAnsi="Times New Roman"/>
          <w:sz w:val="28"/>
          <w:szCs w:val="28"/>
        </w:rPr>
        <w:t>язаний подати річну податкову декларацію про майновий стан і доходи (далі – податкова декларація).</w:t>
      </w:r>
    </w:p>
    <w:p w:rsidR="00A92587" w:rsidRDefault="00A92587" w:rsidP="00A92587">
      <w:pPr>
        <w:pStyle w:val="a3"/>
        <w:spacing w:before="0" w:beforeAutospacing="0" w:after="0" w:afterAutospacing="0"/>
        <w:ind w:firstLine="567"/>
        <w:jc w:val="both"/>
        <w:rPr>
          <w:rFonts w:ascii="Times New Roman" w:hAnsi="Times New Roman"/>
          <w:sz w:val="28"/>
          <w:szCs w:val="28"/>
          <w:lang w:val="uk-UA" w:eastAsia="en-US"/>
        </w:rPr>
      </w:pPr>
      <w:r>
        <w:rPr>
          <w:rFonts w:ascii="Times New Roman" w:hAnsi="Times New Roman"/>
          <w:sz w:val="28"/>
          <w:szCs w:val="28"/>
          <w:lang w:val="uk-UA" w:eastAsia="en-US"/>
        </w:rPr>
        <w:t>Податкова декларація подається за звітний період в установлені Кодексом строки контролюючому органу, в якому перебуває на обліку платник податків           (п. 49.1 ст. 49 Кодексу).</w:t>
      </w:r>
    </w:p>
    <w:p w:rsidR="00A92587" w:rsidRDefault="00A92587" w:rsidP="00A92587">
      <w:pPr>
        <w:pStyle w:val="a3"/>
        <w:spacing w:before="0" w:beforeAutospacing="0" w:after="0" w:afterAutospacing="0"/>
        <w:ind w:firstLine="567"/>
        <w:jc w:val="both"/>
        <w:rPr>
          <w:rFonts w:ascii="Times New Roman" w:hAnsi="Times New Roman"/>
          <w:sz w:val="28"/>
          <w:szCs w:val="28"/>
          <w:lang w:val="uk-UA" w:eastAsia="en-US"/>
        </w:rPr>
      </w:pPr>
      <w:r>
        <w:rPr>
          <w:rFonts w:ascii="Times New Roman" w:hAnsi="Times New Roman"/>
          <w:sz w:val="28"/>
          <w:szCs w:val="28"/>
          <w:lang w:val="uk-UA" w:eastAsia="en-US"/>
        </w:rPr>
        <w:t>При цьому чинним законодавством не заборонено подавати до контролюючого органу податкову декларацію за умови відсутності обов</w:t>
      </w:r>
      <w:r>
        <w:rPr>
          <w:rFonts w:ascii="Times New Roman" w:hAnsi="Times New Roman"/>
          <w:sz w:val="28"/>
          <w:szCs w:val="28"/>
          <w:lang w:val="ru-RU" w:eastAsia="en-US"/>
        </w:rPr>
        <w:t>’язку</w:t>
      </w:r>
      <w:r>
        <w:rPr>
          <w:rFonts w:ascii="Times New Roman" w:hAnsi="Times New Roman"/>
          <w:sz w:val="28"/>
          <w:szCs w:val="28"/>
          <w:lang w:val="uk-UA" w:eastAsia="en-US"/>
        </w:rPr>
        <w:t xml:space="preserve">  щодо такого подання.</w:t>
      </w:r>
    </w:p>
    <w:p w:rsidR="00A92587" w:rsidRDefault="00A92587" w:rsidP="00A92587">
      <w:pPr>
        <w:pStyle w:val="a3"/>
        <w:spacing w:after="0"/>
        <w:ind w:firstLine="567"/>
        <w:jc w:val="both"/>
        <w:rPr>
          <w:rFonts w:ascii="Times New Roman" w:hAnsi="Times New Roman"/>
          <w:sz w:val="28"/>
          <w:szCs w:val="28"/>
          <w:lang w:val="uk-UA" w:eastAsia="en-US"/>
        </w:rPr>
      </w:pPr>
      <w:r>
        <w:rPr>
          <w:rFonts w:ascii="Times New Roman" w:hAnsi="Times New Roman"/>
          <w:sz w:val="28"/>
          <w:szCs w:val="28"/>
        </w:rPr>
        <w:t>Форма податкової декларації та інструкція щодо її заповнення затверджена наказом Міністерства фінансів України  від 02.10.2015 № 859 (зі змінами) (далі – Інструкція № 859).</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Слід зазначити, що згідно норм Кодексу та Інструкції № 859 податкова декларація передбачає зазначення доходів платника податків у гривнях з копійками. Разом з тим, розділ VIII податкової декларації передбачає зазначення відомостей про власне нерухоме (рухоме) майно, що підлягає державній реєстрації.</w:t>
      </w:r>
    </w:p>
    <w:p w:rsidR="00A92587" w:rsidRDefault="00A92587" w:rsidP="00A92587">
      <w:pPr>
        <w:pStyle w:val="a3"/>
        <w:spacing w:after="0"/>
        <w:ind w:firstLine="567"/>
        <w:jc w:val="both"/>
        <w:rPr>
          <w:rFonts w:ascii="Times New Roman" w:hAnsi="Times New Roman"/>
          <w:sz w:val="28"/>
          <w:szCs w:val="28"/>
        </w:rPr>
      </w:pPr>
      <w:r>
        <w:rPr>
          <w:rFonts w:ascii="Times New Roman" w:hAnsi="Times New Roman"/>
          <w:sz w:val="28"/>
          <w:szCs w:val="28"/>
        </w:rPr>
        <w:t xml:space="preserve"> Отже, за нормативними документами, що діють на сьогодні, відображення в податковій декларації наявності у платника податків криптовалюти в крипто-гаманці чинним законодавством не передбачено. Водночас, при отриманні доходів від операцій з криптовалютою зазначені доходи відображаються у розділі ІІ податкової декларації.</w:t>
      </w:r>
    </w:p>
    <w:p w:rsidR="00A92587" w:rsidRDefault="00A92587" w:rsidP="00A92587">
      <w:pPr>
        <w:pStyle w:val="a3"/>
        <w:spacing w:before="0" w:beforeAutospacing="0" w:after="0" w:afterAutospacing="0"/>
        <w:ind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Згідно з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A92587" w:rsidRDefault="00A92587" w:rsidP="00A92587">
      <w:pPr>
        <w:pStyle w:val="a3"/>
        <w:spacing w:before="0" w:beforeAutospacing="0" w:after="0" w:afterAutospacing="0"/>
        <w:ind w:firstLine="567"/>
        <w:jc w:val="both"/>
        <w:rPr>
          <w:rFonts w:ascii="Times New Roman" w:hAnsi="Times New Roman"/>
          <w:sz w:val="16"/>
          <w:szCs w:val="16"/>
          <w:lang w:val="uk-UA"/>
        </w:rPr>
      </w:pPr>
    </w:p>
    <w:p w:rsidR="00042B2D" w:rsidRPr="00A92587" w:rsidRDefault="00042B2D">
      <w:pPr>
        <w:rPr>
          <w:lang w:val="uk-UA"/>
        </w:rPr>
      </w:pPr>
      <w:bookmarkStart w:id="0" w:name="_GoBack"/>
      <w:bookmarkEnd w:id="0"/>
    </w:p>
    <w:sectPr w:rsidR="00042B2D" w:rsidRPr="00A925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87"/>
    <w:rsid w:val="00042B2D"/>
    <w:rsid w:val="00A92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8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Normal (Web)"/>
    <w:aliases w:val="Знак1,Обычный (Web),Обычный (веб) Знак,Знак1 Знак,Знак1 Знак Знак,Знак1 Знак Знак Знак Знак Знак Знак Знак,Знак1 Знак Знак Знак,Обычный (Web) Знак Знак Знак Знак Знак Знак,Обычный (веб)1,Знак1 Знак Знак Знак Знак"/>
    <w:basedOn w:val="a"/>
    <w:uiPriority w:val="99"/>
    <w:qFormat/>
    <w:rsid w:val="00A92587"/>
    <w:pPr>
      <w:spacing w:before="100" w:beforeAutospacing="1" w:after="100" w:afterAutospacing="1"/>
    </w:pPr>
    <w:rPr>
      <w:rFonts w:ascii="Calibri" w:eastAsia="Calibri" w:hAnsi="Calibri"/>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8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Normal (Web)"/>
    <w:aliases w:val="Знак1,Обычный (Web),Обычный (веб) Знак,Знак1 Знак,Знак1 Знак Знак,Знак1 Знак Знак Знак Знак Знак Знак Знак,Знак1 Знак Знак Знак,Обычный (Web) Знак Знак Знак Знак Знак Знак,Обычный (веб)1,Знак1 Знак Знак Знак Знак"/>
    <w:basedOn w:val="a"/>
    <w:uiPriority w:val="99"/>
    <w:qFormat/>
    <w:rsid w:val="00A92587"/>
    <w:pPr>
      <w:spacing w:before="100" w:beforeAutospacing="1" w:after="100" w:afterAutospacing="1"/>
    </w:pPr>
    <w:rPr>
      <w:rFonts w:ascii="Calibri" w:eastAsia="Calibri" w:hAnsi="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4082</Words>
  <Characters>2328</Characters>
  <Application>Microsoft Office Word</Application>
  <DocSecurity>0</DocSecurity>
  <Lines>19</Lines>
  <Paragraphs>12</Paragraphs>
  <ScaleCrop>false</ScaleCrop>
  <Company>diakov.net</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2021-01-26T09:35:00Z</dcterms:created>
  <dcterms:modified xsi:type="dcterms:W3CDTF">2021-01-26T09:35:00Z</dcterms:modified>
</cp:coreProperties>
</file>