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5B17" w14:textId="77777777" w:rsidR="006D0C46" w:rsidRPr="003F7A0D" w:rsidRDefault="006D0C46" w:rsidP="006D0C46">
      <w:pPr>
        <w:jc w:val="center"/>
        <w:rPr>
          <w:rFonts w:ascii="Lato" w:hAnsi="Lato"/>
          <w:color w:val="000000"/>
        </w:rPr>
      </w:pPr>
      <w:r w:rsidRPr="003F7A0D">
        <w:rPr>
          <w:rFonts w:ascii="Lato" w:hAnsi="Lato"/>
          <w:b/>
          <w:bCs/>
          <w:color w:val="000000"/>
          <w:sz w:val="27"/>
          <w:szCs w:val="27"/>
        </w:rPr>
        <w:t>НАЦІОНАЛЬНА СЛУЖБА ЗДОРОВ'Я УКРАЇНИ</w:t>
      </w:r>
    </w:p>
    <w:p w14:paraId="4E117D70" w14:textId="77777777" w:rsidR="006D0C46" w:rsidRPr="003F7A0D" w:rsidRDefault="006D0C46" w:rsidP="006D0C46">
      <w:pPr>
        <w:jc w:val="center"/>
        <w:outlineLvl w:val="1"/>
        <w:rPr>
          <w:rFonts w:ascii="Lato" w:hAnsi="Lato"/>
          <w:b/>
          <w:bCs/>
          <w:color w:val="000000"/>
          <w:sz w:val="36"/>
          <w:szCs w:val="36"/>
        </w:rPr>
      </w:pPr>
      <w:r w:rsidRPr="003F7A0D">
        <w:rPr>
          <w:rFonts w:ascii="Lato" w:hAnsi="Lato"/>
          <w:b/>
          <w:bCs/>
          <w:color w:val="000000"/>
          <w:sz w:val="36"/>
          <w:szCs w:val="36"/>
        </w:rPr>
        <w:t>ЛИСТ</w:t>
      </w:r>
    </w:p>
    <w:p w14:paraId="100603BD" w14:textId="77777777" w:rsidR="006D0C46" w:rsidRPr="003F7A0D" w:rsidRDefault="006D0C46" w:rsidP="006D0C46">
      <w:pPr>
        <w:jc w:val="center"/>
        <w:rPr>
          <w:rFonts w:ascii="Lato" w:hAnsi="Lato"/>
          <w:color w:val="000000"/>
        </w:rPr>
      </w:pPr>
      <w:r w:rsidRPr="003F7A0D">
        <w:rPr>
          <w:rFonts w:ascii="Lato" w:hAnsi="Lato"/>
          <w:b/>
          <w:bCs/>
          <w:color w:val="000000"/>
        </w:rPr>
        <w:t>від 29.01.2026 р. N 3085/3-17-26</w:t>
      </w:r>
    </w:p>
    <w:p w14:paraId="51CA192A" w14:textId="77777777" w:rsidR="006D0C46" w:rsidRPr="003F7A0D" w:rsidRDefault="006D0C46" w:rsidP="006D0C46">
      <w:pPr>
        <w:rPr>
          <w:rFonts w:ascii="Lato" w:hAnsi="Lato"/>
          <w:color w:val="000000"/>
        </w:rPr>
      </w:pPr>
      <w:r w:rsidRPr="003F7A0D">
        <w:rPr>
          <w:rFonts w:ascii="Lato" w:hAnsi="Lato"/>
          <w:color w:val="000000"/>
        </w:rPr>
        <w:t>Надавачам первинної медичної допомоги</w:t>
      </w:r>
    </w:p>
    <w:p w14:paraId="5134403D" w14:textId="77777777" w:rsidR="006D0C46" w:rsidRPr="003F7A0D" w:rsidRDefault="006D0C46" w:rsidP="006D0C46">
      <w:pPr>
        <w:jc w:val="both"/>
        <w:rPr>
          <w:rFonts w:ascii="Lato" w:hAnsi="Lato"/>
          <w:color w:val="000000"/>
        </w:rPr>
      </w:pPr>
      <w:r w:rsidRPr="003F7A0D">
        <w:rPr>
          <w:rFonts w:ascii="Lato" w:hAnsi="Lato"/>
          <w:color w:val="000000"/>
        </w:rPr>
        <w:t>Національна служба здоров'я України висловлює свою повагу та повідомляє про таке.</w:t>
      </w:r>
    </w:p>
    <w:p w14:paraId="5C915826" w14:textId="77777777" w:rsidR="006D0C46" w:rsidRPr="003F7A0D" w:rsidRDefault="006D0C46" w:rsidP="006D0C46">
      <w:pPr>
        <w:jc w:val="both"/>
        <w:rPr>
          <w:rFonts w:ascii="Lato" w:hAnsi="Lato"/>
          <w:color w:val="000000"/>
        </w:rPr>
      </w:pPr>
      <w:r w:rsidRPr="003F7A0D">
        <w:rPr>
          <w:rFonts w:ascii="Lato" w:hAnsi="Lato"/>
          <w:color w:val="000000"/>
        </w:rPr>
        <w:t>Специфікацією та умовами закупівлі медичних послуг за пакетом медичних послуг "Первинна медична допомога" (далі - умови закупівлі), які включені до договорів про медичне обслуговування населення за програмою медичних гарантій за напрямом "Первинна медична допомога" (далі - договір), встановлені додаткові вимоги до обсягу медичних послуг із супроводу та лікування дорослих та дітей, хворих на туберкульоз, на первинному рівні медичної допомоги.</w:t>
      </w:r>
    </w:p>
    <w:p w14:paraId="4EEF8A89" w14:textId="77777777" w:rsidR="006D0C46" w:rsidRPr="003F7A0D" w:rsidRDefault="006D0C46" w:rsidP="006D0C46">
      <w:pPr>
        <w:jc w:val="both"/>
        <w:rPr>
          <w:rFonts w:ascii="Lato" w:hAnsi="Lato"/>
          <w:color w:val="000000"/>
        </w:rPr>
      </w:pPr>
      <w:r w:rsidRPr="003F7A0D">
        <w:rPr>
          <w:rFonts w:ascii="Lato" w:hAnsi="Lato"/>
          <w:color w:val="000000"/>
        </w:rPr>
        <w:t>Крім того, умовами закупівлі для послуг із супроводу та лікування дорослих та дітей, хворих на туберкульоз, на первинному рівні медичної допомоги визначені додаткові вимоги до підстав надання послуги, до організації надання послуги та до спеціалістів та кількості фахівців, які працюють на посадах.</w:t>
      </w:r>
    </w:p>
    <w:p w14:paraId="56A296B7" w14:textId="77777777" w:rsidR="006D0C46" w:rsidRPr="003F7A0D" w:rsidRDefault="006D0C46" w:rsidP="006D0C46">
      <w:pPr>
        <w:jc w:val="both"/>
        <w:rPr>
          <w:rFonts w:ascii="Lato" w:hAnsi="Lato"/>
          <w:color w:val="000000"/>
        </w:rPr>
      </w:pPr>
      <w:r w:rsidRPr="003F7A0D">
        <w:rPr>
          <w:rFonts w:ascii="Lato" w:hAnsi="Lato"/>
          <w:color w:val="000000"/>
        </w:rPr>
        <w:t>Відповідно до абзацу четвертого пункту 23 Порядку реалізації програми державних гарантій медичного обслуговування населення у 2026 році, затвердженого </w:t>
      </w:r>
      <w:hyperlink r:id="rId4" w:tgtFrame="_blank" w:history="1">
        <w:r w:rsidRPr="003F7A0D">
          <w:rPr>
            <w:rFonts w:ascii="Lato" w:hAnsi="Lato"/>
            <w:color w:val="9486FF"/>
          </w:rPr>
          <w:t>постановою Кабінету Міністрів України від 31.12.2025 N 1808</w:t>
        </w:r>
      </w:hyperlink>
      <w:r w:rsidRPr="003F7A0D">
        <w:rPr>
          <w:rFonts w:ascii="Lato" w:hAnsi="Lato"/>
          <w:color w:val="000000"/>
        </w:rPr>
        <w:t> (далі - Порядок), </w:t>
      </w:r>
      <w:r w:rsidRPr="003F7A0D">
        <w:rPr>
          <w:rFonts w:ascii="Lato" w:hAnsi="Lato"/>
          <w:b/>
          <w:bCs/>
          <w:color w:val="000000"/>
        </w:rPr>
        <w:t>з 1 вересня 2026 р. усі надавачі медичних послуг з надання первинної медичної допомоги повинні відповідати додатковим вимогам до обсягу медичних послуг із супроводу та лікування дорослих та дітей, хворих на туберкульоз, на первинному рівні медичної допомоги, що передбачені специфікаціями</w:t>
      </w:r>
      <w:r w:rsidRPr="003F7A0D">
        <w:rPr>
          <w:rFonts w:ascii="Lato" w:hAnsi="Lato"/>
          <w:color w:val="000000"/>
        </w:rPr>
        <w:t>.</w:t>
      </w:r>
    </w:p>
    <w:p w14:paraId="367CC85E" w14:textId="77777777" w:rsidR="006D0C46" w:rsidRPr="003F7A0D" w:rsidRDefault="006D0C46" w:rsidP="006D0C46">
      <w:pPr>
        <w:jc w:val="both"/>
        <w:rPr>
          <w:rFonts w:ascii="Lato" w:hAnsi="Lato"/>
          <w:color w:val="000000"/>
        </w:rPr>
      </w:pPr>
      <w:r w:rsidRPr="003F7A0D">
        <w:rPr>
          <w:rFonts w:ascii="Lato" w:hAnsi="Lato"/>
          <w:color w:val="000000"/>
        </w:rPr>
        <w:t>Варто зазначити, що додатковими вимогами до спеціалістів та кількості фахівців, які працюють на посадах для надання послуг "Супровід та лікування дорослих та дітей, хворих на туберкульоз, на первинному рівні медичної допомоги" встановлено, що у надавачів медичних послуг має бути лікар з надання ПМД (лікар загальної практики - сімейний лікар, лікар-терапевт, лікар-педіатр) - щонайменше 1 особа, яка працює у цьому ЗОЗ і </w:t>
      </w:r>
      <w:r w:rsidRPr="003F7A0D">
        <w:rPr>
          <w:rFonts w:ascii="Lato" w:hAnsi="Lato"/>
          <w:b/>
          <w:bCs/>
          <w:color w:val="000000"/>
        </w:rPr>
        <w:t>пройшла відповідний курс тематичного удосконалення або навчання з консультування, ведення та лікування пацієнтів, хворих на туберкульоз, або мають відповідний чинний сертифікат лікаря-фтизіатра</w:t>
      </w:r>
      <w:r w:rsidRPr="003F7A0D">
        <w:rPr>
          <w:rFonts w:ascii="Lato" w:hAnsi="Lato"/>
          <w:color w:val="000000"/>
        </w:rPr>
        <w:t>.</w:t>
      </w:r>
    </w:p>
    <w:p w14:paraId="6C1F887A" w14:textId="77777777" w:rsidR="006D0C46" w:rsidRPr="003F7A0D" w:rsidRDefault="006D0C46" w:rsidP="006D0C46">
      <w:pPr>
        <w:jc w:val="both"/>
        <w:rPr>
          <w:rFonts w:ascii="Lato" w:hAnsi="Lato"/>
          <w:color w:val="000000"/>
        </w:rPr>
      </w:pPr>
      <w:r w:rsidRPr="003F7A0D">
        <w:rPr>
          <w:rFonts w:ascii="Lato" w:hAnsi="Lato"/>
          <w:color w:val="000000"/>
        </w:rPr>
        <w:t>Пройти навчання лікарі з надання ПМД можуть у провайдерів, які є в переліку провайдерів безперервного професійного розвитку (БПР). Зокрема, такі курси є на платформі Центру громадського здоров'я МОЗ, який є офіційно зареєстрованим незалежним провайдером заходів БПР працівників сфери охорони здоров'я. Серед курсів щодо туберкульозу, розміщених платформі Центру громадського здоров'я МОЗ, є зокрема курс "Ведення пацієнтів з туберкульозом на амбулаторному етапі лікування для лікарів первинної медико-санітарної допомоги" та інші. Всі заходи, що розміщені на Платформі дистанційного навчання Центру громадського здоров'я МОЗ, є безоплатними. За результатами навчання лікарі з надання ПМД мають отримати документ, який засвідчує проходження курсів.</w:t>
      </w:r>
    </w:p>
    <w:p w14:paraId="10C3915B" w14:textId="77777777" w:rsidR="006D0C46" w:rsidRPr="003F7A0D" w:rsidRDefault="006D0C46" w:rsidP="006D0C46">
      <w:pPr>
        <w:jc w:val="both"/>
        <w:rPr>
          <w:rFonts w:ascii="Lato" w:hAnsi="Lato"/>
          <w:color w:val="000000"/>
        </w:rPr>
      </w:pPr>
      <w:r w:rsidRPr="003F7A0D">
        <w:rPr>
          <w:rFonts w:ascii="Lato" w:hAnsi="Lato"/>
          <w:color w:val="000000"/>
        </w:rPr>
        <w:t>З метою виконання вимог </w:t>
      </w:r>
      <w:hyperlink r:id="rId5" w:tgtFrame="_blank" w:history="1">
        <w:r w:rsidRPr="003F7A0D">
          <w:rPr>
            <w:rFonts w:ascii="Lato" w:hAnsi="Lato"/>
            <w:color w:val="9486FF"/>
          </w:rPr>
          <w:t>Порядку</w:t>
        </w:r>
      </w:hyperlink>
      <w:r w:rsidRPr="003F7A0D">
        <w:rPr>
          <w:rFonts w:ascii="Lato" w:hAnsi="Lato"/>
          <w:color w:val="000000"/>
        </w:rPr>
        <w:t xml:space="preserve"> та забезпечення надання пацієнтам повного обсягу первинної медичної допомоги, передбаченого специфікаціями, пропонуємо надавачам медичних послуг здійснити заходи для відповідності </w:t>
      </w:r>
      <w:r w:rsidRPr="003F7A0D">
        <w:rPr>
          <w:rFonts w:ascii="Lato" w:hAnsi="Lato"/>
          <w:color w:val="000000"/>
        </w:rPr>
        <w:lastRenderedPageBreak/>
        <w:t>додатковим вимогам до обсягу медичних послуг із супроводу та лікування дорослих та дітей, хворих на туберкульоз, на первинному рівні медичної допомоги.</w:t>
      </w:r>
    </w:p>
    <w:p w14:paraId="39AC0C3A" w14:textId="77777777" w:rsidR="006D0C46" w:rsidRPr="003F7A0D" w:rsidRDefault="006D0C46" w:rsidP="006D0C46">
      <w:pPr>
        <w:jc w:val="both"/>
        <w:rPr>
          <w:rFonts w:ascii="Lato" w:hAnsi="Lato"/>
          <w:color w:val="000000"/>
        </w:rPr>
      </w:pPr>
      <w:r w:rsidRPr="003F7A0D">
        <w:rPr>
          <w:rFonts w:ascii="Lato" w:hAnsi="Lato"/>
          <w:color w:val="000000"/>
        </w:rPr>
        <w:t>Щодо технічної можливості внесення змін до договорів в частині включення до них додаткових послуг із супроводу та лікування дорослих та дітей, хворих на туберкульоз, на первинному рівні медичної допомоги, буде повідомлено додатково.</w:t>
      </w:r>
    </w:p>
    <w:p w14:paraId="185DE171" w14:textId="77777777" w:rsidR="006D0C46" w:rsidRPr="003F7A0D" w:rsidRDefault="006D0C46" w:rsidP="006D0C46">
      <w:pPr>
        <w:jc w:val="both"/>
        <w:rPr>
          <w:rFonts w:ascii="Lato" w:hAnsi="Lato"/>
          <w:color w:val="000000"/>
        </w:rPr>
      </w:pPr>
      <w:r w:rsidRPr="003F7A0D">
        <w:rPr>
          <w:rFonts w:ascii="Lato" w:hAnsi="Lato"/>
          <w:color w:val="000000"/>
        </w:rPr>
        <w:t>У разі виникнення будь-яких додаткових питань звертайтесь на безкоштовну гарячу лінію НСЗУ 16-77, а також до міжрегіональних департаментів НСЗУ.</w:t>
      </w:r>
    </w:p>
    <w:p w14:paraId="649E73C1" w14:textId="77777777" w:rsidR="006D0C46" w:rsidRPr="003D5361" w:rsidRDefault="006D0C46" w:rsidP="006D0C46">
      <w:pPr>
        <w:rPr>
          <w:lang w:val="uk-UA"/>
        </w:rPr>
      </w:pPr>
    </w:p>
    <w:p w14:paraId="72AA41FC" w14:textId="77777777" w:rsidR="00541FFA" w:rsidRDefault="00541FFA"/>
    <w:sectPr w:rsidR="00541F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C46"/>
    <w:rsid w:val="001949B8"/>
    <w:rsid w:val="00205B9A"/>
    <w:rsid w:val="00541FFA"/>
    <w:rsid w:val="006A5358"/>
    <w:rsid w:val="006D0C4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364476BE"/>
  <w15:chartTrackingRefBased/>
  <w15:docId w15:val="{A89F19B8-1863-9944-9685-F834E1CE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C46"/>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6D0C46"/>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6D0C46"/>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6D0C46"/>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6D0C46"/>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6D0C46"/>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6D0C46"/>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6D0C46"/>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6D0C46"/>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6D0C46"/>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0C4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D0C4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D0C4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D0C4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D0C4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D0C4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D0C46"/>
    <w:rPr>
      <w:rFonts w:eastAsiaTheme="majorEastAsia" w:cstheme="majorBidi"/>
      <w:color w:val="595959" w:themeColor="text1" w:themeTint="A6"/>
    </w:rPr>
  </w:style>
  <w:style w:type="character" w:customStyle="1" w:styleId="80">
    <w:name w:val="Заголовок 8 Знак"/>
    <w:basedOn w:val="a0"/>
    <w:link w:val="8"/>
    <w:uiPriority w:val="9"/>
    <w:semiHidden/>
    <w:rsid w:val="006D0C4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D0C46"/>
    <w:rPr>
      <w:rFonts w:eastAsiaTheme="majorEastAsia" w:cstheme="majorBidi"/>
      <w:color w:val="272727" w:themeColor="text1" w:themeTint="D8"/>
    </w:rPr>
  </w:style>
  <w:style w:type="paragraph" w:styleId="a3">
    <w:name w:val="Title"/>
    <w:basedOn w:val="a"/>
    <w:next w:val="a"/>
    <w:link w:val="a4"/>
    <w:uiPriority w:val="10"/>
    <w:qFormat/>
    <w:rsid w:val="006D0C4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6D0C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0C46"/>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6D0C4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D0C46"/>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6D0C46"/>
    <w:rPr>
      <w:i/>
      <w:iCs/>
      <w:color w:val="404040" w:themeColor="text1" w:themeTint="BF"/>
    </w:rPr>
  </w:style>
  <w:style w:type="paragraph" w:styleId="a7">
    <w:name w:val="List Paragraph"/>
    <w:basedOn w:val="a"/>
    <w:uiPriority w:val="34"/>
    <w:qFormat/>
    <w:rsid w:val="006D0C46"/>
    <w:pPr>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6D0C46"/>
    <w:rPr>
      <w:i/>
      <w:iCs/>
      <w:color w:val="2F5496" w:themeColor="accent1" w:themeShade="BF"/>
    </w:rPr>
  </w:style>
  <w:style w:type="paragraph" w:styleId="a9">
    <w:name w:val="Intense Quote"/>
    <w:basedOn w:val="a"/>
    <w:next w:val="a"/>
    <w:link w:val="aa"/>
    <w:uiPriority w:val="30"/>
    <w:qFormat/>
    <w:rsid w:val="006D0C4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6D0C46"/>
    <w:rPr>
      <w:i/>
      <w:iCs/>
      <w:color w:val="2F5496" w:themeColor="accent1" w:themeShade="BF"/>
    </w:rPr>
  </w:style>
  <w:style w:type="character" w:styleId="ab">
    <w:name w:val="Intense Reference"/>
    <w:basedOn w:val="a0"/>
    <w:uiPriority w:val="32"/>
    <w:qFormat/>
    <w:rsid w:val="006D0C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pro.ligazakon.net/document/KP251808?ed=2025_12_31&amp;an=108" TargetMode="External"/><Relationship Id="rId4" Type="http://schemas.openxmlformats.org/officeDocument/2006/relationships/hyperlink" Target="https://zakon-pro.ligazakon.net/document/KP251808?ed=2025_12_31&amp;an=3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3298</Characters>
  <Application>Microsoft Office Word</Application>
  <DocSecurity>0</DocSecurity>
  <Lines>63</Lines>
  <Paragraphs>31</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2026-02-17T20:19:00Z</dcterms:created>
  <dcterms:modified xsi:type="dcterms:W3CDTF">2026-02-17T20:19:00Z</dcterms:modified>
</cp:coreProperties>
</file>