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C5A8" w14:textId="55DE2313" w:rsidR="005E66C0" w:rsidRDefault="00734454">
      <w:pPr>
        <w:spacing w:after="75"/>
        <w:jc w:val="center"/>
      </w:pPr>
      <w:bookmarkStart w:id="0" w:name="4"/>
      <w:r>
        <w:rPr>
          <w:rFonts w:ascii="Arial" w:hAnsi="Arial"/>
          <w:b/>
          <w:color w:val="000000"/>
          <w:sz w:val="24"/>
        </w:rPr>
        <w:t xml:space="preserve">Лист Пенсійного фонду України </w:t>
      </w:r>
      <w:r w:rsidR="00000000">
        <w:rPr>
          <w:rFonts w:ascii="Arial" w:hAnsi="Arial"/>
          <w:b/>
          <w:color w:val="000000"/>
          <w:sz w:val="24"/>
        </w:rPr>
        <w:t>від 12.12.2025 р. N 2800-030401-8/86026</w:t>
      </w:r>
    </w:p>
    <w:p w14:paraId="27278F55" w14:textId="77777777" w:rsidR="005E66C0" w:rsidRDefault="00000000">
      <w:pPr>
        <w:spacing w:after="75"/>
        <w:jc w:val="center"/>
      </w:pPr>
      <w:bookmarkStart w:id="1" w:name="5"/>
      <w:bookmarkEnd w:id="0"/>
      <w:r>
        <w:rPr>
          <w:rFonts w:ascii="Arial" w:hAnsi="Arial"/>
          <w:b/>
          <w:color w:val="000000"/>
          <w:sz w:val="24"/>
        </w:rPr>
        <w:t>(Витяг)</w:t>
      </w:r>
    </w:p>
    <w:p w14:paraId="33B2666E" w14:textId="77777777" w:rsidR="005E66C0" w:rsidRDefault="00000000">
      <w:pPr>
        <w:spacing w:after="75"/>
        <w:ind w:firstLine="240"/>
        <w:jc w:val="both"/>
      </w:pPr>
      <w:bookmarkStart w:id="2" w:name="6"/>
      <w:bookmarkEnd w:id="1"/>
      <w:r>
        <w:rPr>
          <w:rFonts w:ascii="Arial" w:hAnsi="Arial"/>
          <w:color w:val="000000"/>
          <w:sz w:val="24"/>
        </w:rPr>
        <w:t>Розглянувши [...] інформаційний запит [...] щодо обчислення середньої заробітної плати, Пенсійний фонд України повідомляє.</w:t>
      </w:r>
    </w:p>
    <w:p w14:paraId="5E10466D" w14:textId="77777777" w:rsidR="005E66C0" w:rsidRDefault="00000000">
      <w:pPr>
        <w:spacing w:after="75"/>
        <w:ind w:firstLine="240"/>
        <w:jc w:val="both"/>
      </w:pPr>
      <w:bookmarkStart w:id="3" w:name="7"/>
      <w:bookmarkEnd w:id="2"/>
      <w:r>
        <w:rPr>
          <w:rFonts w:ascii="Arial" w:hAnsi="Arial"/>
          <w:color w:val="000000"/>
          <w:sz w:val="24"/>
        </w:rPr>
        <w:t>&amp;</w:t>
      </w:r>
      <w:proofErr w:type="spellStart"/>
      <w:r>
        <w:rPr>
          <w:rFonts w:ascii="Arial" w:hAnsi="Arial"/>
          <w:color w:val="000000"/>
          <w:sz w:val="24"/>
        </w:rPr>
        <w:t>lt</w:t>
      </w:r>
      <w:proofErr w:type="spellEnd"/>
      <w:r>
        <w:rPr>
          <w:rFonts w:ascii="Arial" w:hAnsi="Arial"/>
          <w:color w:val="000000"/>
          <w:sz w:val="24"/>
        </w:rPr>
        <w:t>;…&gt;</w:t>
      </w:r>
    </w:p>
    <w:p w14:paraId="316AB3D7" w14:textId="77777777" w:rsidR="005E66C0" w:rsidRDefault="00000000">
      <w:pPr>
        <w:spacing w:after="75"/>
        <w:ind w:firstLine="240"/>
        <w:jc w:val="both"/>
      </w:pPr>
      <w:bookmarkStart w:id="4" w:name="8"/>
      <w:bookmarkEnd w:id="3"/>
      <w:r>
        <w:rPr>
          <w:rFonts w:ascii="Arial" w:hAnsi="Arial"/>
          <w:color w:val="000000"/>
          <w:sz w:val="24"/>
        </w:rPr>
        <w:t xml:space="preserve">Відповідно до </w:t>
      </w:r>
      <w:r>
        <w:rPr>
          <w:rFonts w:ascii="Arial" w:hAnsi="Arial"/>
          <w:color w:val="293A55"/>
          <w:sz w:val="24"/>
        </w:rPr>
        <w:t>частини першої статті 15 Закону України від 23.09.99 N 1105-XIV "Про загальнообов'язкове державне соціальне страхування"</w:t>
      </w:r>
      <w:r>
        <w:rPr>
          <w:rFonts w:ascii="Arial" w:hAnsi="Arial"/>
          <w:color w:val="000000"/>
          <w:sz w:val="24"/>
        </w:rPr>
        <w:t xml:space="preserve"> (далі - Закон N 1105)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w:t>
      </w:r>
    </w:p>
    <w:p w14:paraId="65821CB0" w14:textId="77777777" w:rsidR="005E66C0" w:rsidRDefault="00000000">
      <w:pPr>
        <w:spacing w:after="75"/>
        <w:ind w:firstLine="240"/>
        <w:jc w:val="both"/>
      </w:pPr>
      <w:bookmarkStart w:id="5" w:name="9"/>
      <w:bookmarkEnd w:id="4"/>
      <w:r>
        <w:rPr>
          <w:rFonts w:ascii="Arial" w:hAnsi="Arial"/>
          <w:color w:val="000000"/>
          <w:sz w:val="24"/>
        </w:rPr>
        <w:t xml:space="preserve">Згідно з пунктом 3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w:t>
      </w:r>
      <w:r>
        <w:rPr>
          <w:rFonts w:ascii="Arial" w:hAnsi="Arial"/>
          <w:color w:val="293A55"/>
          <w:sz w:val="24"/>
        </w:rPr>
        <w:t>постановою Кабінету Міністрів України від 26.09.2001 N 1266</w:t>
      </w:r>
      <w:r>
        <w:rPr>
          <w:rFonts w:ascii="Arial" w:hAnsi="Arial"/>
          <w:color w:val="000000"/>
          <w:sz w:val="24"/>
        </w:rPr>
        <w:t xml:space="preserve"> (далі - Порядок), середньоденна заробітна плата (дохід, грошове забезпечення) обчислюється шляхом ділення нарахованої за розрахунковий період (12 календарних місяців) заробітної плати (доходу, грошового забезпечення), на яку нарахований єдиний внесок та / або страхові внески на відповідні види загальнообов'язкового державного соціального страхування (далі - страхові внески), на кількість календарних днів зайнятості (відповідно до видів страхування - період перебування у трудових відносинах, виконання робіт (надання послуг) за цивільно-правовими договорами, проходження служби, провадження підприємницької або іншої діяльності, пов'язаної з отриманням доходу безпосередньо від такої діяльності) у розрахунковому періоді без урахування календарних днів, не відпрацьованих з поважних причин, - тимчасова непрацездатність, відпустка у зв'язку з вагітністю та пологами, відпустка для догляду за дитиною до досягнення нею трирічного віку та шестирічного віку за медичним висновком, відпустка без збереження заробітної плати, призупинення дії трудового договору у зв'язку з військовою агресією Російської Федерації проти України, період, протягом якого працівник проходив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проходив військову службу за контрактом, зокрема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і за ним не зберігався роботодавцем середній заробіток за такий період (далі - поважні причини).</w:t>
      </w:r>
    </w:p>
    <w:p w14:paraId="4B93871F" w14:textId="77777777" w:rsidR="005E66C0" w:rsidRDefault="00000000">
      <w:pPr>
        <w:spacing w:after="75"/>
        <w:ind w:firstLine="240"/>
        <w:jc w:val="both"/>
      </w:pPr>
      <w:bookmarkStart w:id="6" w:name="10"/>
      <w:bookmarkEnd w:id="5"/>
      <w:r>
        <w:rPr>
          <w:rFonts w:ascii="Arial" w:hAnsi="Arial"/>
          <w:color w:val="293A55"/>
          <w:sz w:val="24"/>
        </w:rPr>
        <w:t>Пунктом 27 Порядку</w:t>
      </w:r>
      <w:r>
        <w:rPr>
          <w:rFonts w:ascii="Arial" w:hAnsi="Arial"/>
          <w:color w:val="000000"/>
          <w:sz w:val="24"/>
        </w:rPr>
        <w:t xml:space="preserve"> визначено, що у разі коли застрахована особа перебувала у трудових відносинах менше ніж календарний місяць за останнім основним місцем роботи, розрахунковий період визначається за фактично відпрацьований час (календарні дні) перед настанням страхового випадку.</w:t>
      </w:r>
    </w:p>
    <w:p w14:paraId="75B37B69" w14:textId="77777777" w:rsidR="005E66C0" w:rsidRDefault="00000000">
      <w:pPr>
        <w:spacing w:after="75"/>
        <w:ind w:firstLine="240"/>
        <w:jc w:val="both"/>
      </w:pPr>
      <w:bookmarkStart w:id="7" w:name="11"/>
      <w:bookmarkEnd w:id="6"/>
      <w:r>
        <w:rPr>
          <w:rFonts w:ascii="Arial" w:hAnsi="Arial"/>
          <w:color w:val="000000"/>
          <w:sz w:val="24"/>
        </w:rPr>
        <w:lastRenderedPageBreak/>
        <w:t xml:space="preserve">Відповідно до норми </w:t>
      </w:r>
      <w:r>
        <w:rPr>
          <w:rFonts w:ascii="Arial" w:hAnsi="Arial"/>
          <w:color w:val="293A55"/>
          <w:sz w:val="24"/>
        </w:rPr>
        <w:t>пункту 32 Порядку</w:t>
      </w:r>
      <w:r>
        <w:rPr>
          <w:rFonts w:ascii="Arial" w:hAnsi="Arial"/>
          <w:color w:val="000000"/>
          <w:sz w:val="24"/>
        </w:rPr>
        <w:t xml:space="preserve"> середня заробітна плата для розрахунку допомоги по вагітності та пологах і допомоги по тимчасовій непрацездатності, оплати перших п'яти (сімнадцяти - за місцем роботи, де стався страховий випадок за страхуванням від нещасного випадку на виробництві або професійного захворювання, які спричинили втрату працездатності) днів тимчасової непрацездатності за рахунок коштів роботодавця обчислюється роботодавцями на підставі відомостей, що включаються до звіту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що подаються до ДПС.</w:t>
      </w:r>
    </w:p>
    <w:p w14:paraId="01927278" w14:textId="77777777" w:rsidR="005E66C0" w:rsidRDefault="00000000">
      <w:pPr>
        <w:spacing w:after="75"/>
        <w:ind w:firstLine="240"/>
        <w:jc w:val="both"/>
      </w:pPr>
      <w:bookmarkStart w:id="8" w:name="12"/>
      <w:bookmarkEnd w:id="7"/>
      <w:r>
        <w:rPr>
          <w:rFonts w:ascii="Arial" w:hAnsi="Arial"/>
          <w:color w:val="000000"/>
          <w:sz w:val="24"/>
        </w:rPr>
        <w:t xml:space="preserve">Враховуючи викладене, якщо розрахунковим періодом для обчислення середньої заробітної плати є один відпрацьований календарний день без сплати заробітної плати, що підтверджується відповідним звітом до органу податкової служби, то середня заробітна плата обчислюється на загальних підставах відповідно до </w:t>
      </w:r>
      <w:r>
        <w:rPr>
          <w:rFonts w:ascii="Arial" w:hAnsi="Arial"/>
          <w:color w:val="293A55"/>
          <w:sz w:val="24"/>
        </w:rPr>
        <w:t>пунктів 3</w:t>
      </w:r>
      <w:r>
        <w:rPr>
          <w:rFonts w:ascii="Arial" w:hAnsi="Arial"/>
          <w:color w:val="000000"/>
          <w:sz w:val="24"/>
        </w:rPr>
        <w:t xml:space="preserve"> та </w:t>
      </w:r>
      <w:r>
        <w:rPr>
          <w:rFonts w:ascii="Arial" w:hAnsi="Arial"/>
          <w:color w:val="293A55"/>
          <w:sz w:val="24"/>
        </w:rPr>
        <w:t>27 Порядку</w:t>
      </w:r>
      <w:r>
        <w:rPr>
          <w:rFonts w:ascii="Arial" w:hAnsi="Arial"/>
          <w:color w:val="000000"/>
          <w:sz w:val="24"/>
        </w:rPr>
        <w:t xml:space="preserve">. При цьому </w:t>
      </w:r>
      <w:r>
        <w:rPr>
          <w:rFonts w:ascii="Arial" w:hAnsi="Arial"/>
          <w:color w:val="293A55"/>
          <w:sz w:val="24"/>
        </w:rPr>
        <w:t>пункт 28 Порядку</w:t>
      </w:r>
      <w:r>
        <w:rPr>
          <w:rFonts w:ascii="Arial" w:hAnsi="Arial"/>
          <w:color w:val="000000"/>
          <w:sz w:val="24"/>
        </w:rPr>
        <w:t xml:space="preserve"> у зазначеному Вами випадку не застосовується, оскільки його застосування передбачене у разі, коли страховий випадок настав у перший день роботи або ж застрахована особа не мала заробітку перед настанням страхового випадку з поважних причин, визначених пунктом 3 Порядку.</w:t>
      </w:r>
    </w:p>
    <w:p w14:paraId="6A3E1ADE" w14:textId="77777777" w:rsidR="005E66C0" w:rsidRDefault="00000000">
      <w:pPr>
        <w:spacing w:after="75"/>
        <w:ind w:firstLine="240"/>
        <w:jc w:val="both"/>
      </w:pPr>
      <w:bookmarkStart w:id="9" w:name="13"/>
      <w:bookmarkEnd w:id="8"/>
      <w:r>
        <w:rPr>
          <w:rFonts w:ascii="Arial" w:hAnsi="Arial"/>
          <w:b/>
          <w:color w:val="000000"/>
          <w:sz w:val="24"/>
        </w:rPr>
        <w:t>З повагою</w:t>
      </w:r>
    </w:p>
    <w:p w14:paraId="6B99961B" w14:textId="77777777" w:rsidR="005E66C0" w:rsidRDefault="00000000">
      <w:pPr>
        <w:spacing w:after="75"/>
        <w:ind w:firstLine="240"/>
        <w:jc w:val="both"/>
      </w:pPr>
      <w:bookmarkStart w:id="10" w:name="14"/>
      <w:bookmarkEnd w:id="9"/>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5"/>
        <w:gridCol w:w="4502"/>
      </w:tblGrid>
      <w:tr w:rsidR="005E66C0" w14:paraId="3B8C3E56" w14:textId="77777777">
        <w:trPr>
          <w:trHeight w:val="30"/>
          <w:tblCellSpacing w:w="0" w:type="auto"/>
        </w:trPr>
        <w:tc>
          <w:tcPr>
            <w:tcW w:w="4845" w:type="dxa"/>
            <w:vAlign w:val="center"/>
          </w:tcPr>
          <w:p w14:paraId="7E207ED8" w14:textId="77777777" w:rsidR="005E66C0" w:rsidRDefault="00000000">
            <w:pPr>
              <w:spacing w:after="75"/>
              <w:jc w:val="center"/>
            </w:pPr>
            <w:bookmarkStart w:id="11" w:name="15"/>
            <w:bookmarkEnd w:id="10"/>
            <w:r>
              <w:rPr>
                <w:rFonts w:ascii="Arial" w:hAnsi="Arial"/>
                <w:b/>
                <w:color w:val="000000"/>
                <w:sz w:val="15"/>
              </w:rPr>
              <w:t>Начальник управління</w:t>
            </w:r>
            <w:r>
              <w:br/>
            </w:r>
            <w:r>
              <w:rPr>
                <w:rFonts w:ascii="Arial" w:hAnsi="Arial"/>
                <w:b/>
                <w:color w:val="000000"/>
                <w:sz w:val="15"/>
              </w:rPr>
              <w:t>страхових виплат та</w:t>
            </w:r>
            <w:r>
              <w:br/>
            </w:r>
            <w:r>
              <w:rPr>
                <w:rFonts w:ascii="Arial" w:hAnsi="Arial"/>
                <w:b/>
                <w:color w:val="000000"/>
                <w:sz w:val="15"/>
              </w:rPr>
              <w:t>соціальних послуг</w:t>
            </w:r>
          </w:p>
        </w:tc>
        <w:tc>
          <w:tcPr>
            <w:tcW w:w="4845" w:type="dxa"/>
            <w:vAlign w:val="center"/>
          </w:tcPr>
          <w:p w14:paraId="3FAF1A2E" w14:textId="77777777" w:rsidR="005E66C0" w:rsidRDefault="00000000">
            <w:pPr>
              <w:spacing w:after="75"/>
              <w:jc w:val="center"/>
            </w:pPr>
            <w:bookmarkStart w:id="12" w:name="16"/>
            <w:bookmarkEnd w:id="11"/>
            <w:r>
              <w:rPr>
                <w:rFonts w:ascii="Arial" w:hAnsi="Arial"/>
                <w:b/>
                <w:color w:val="000000"/>
                <w:sz w:val="15"/>
              </w:rPr>
              <w:t>Лариса СЕНЮК</w:t>
            </w:r>
          </w:p>
        </w:tc>
        <w:bookmarkEnd w:id="12"/>
      </w:tr>
    </w:tbl>
    <w:p w14:paraId="0E404B1A" w14:textId="77777777" w:rsidR="005E66C0" w:rsidRDefault="005E66C0">
      <w:pPr>
        <w:spacing w:after="75"/>
        <w:ind w:firstLine="240"/>
        <w:jc w:val="both"/>
      </w:pPr>
      <w:bookmarkStart w:id="13" w:name="17"/>
    </w:p>
    <w:bookmarkEnd w:id="13"/>
    <w:p w14:paraId="25F59660" w14:textId="77777777" w:rsidR="00775364" w:rsidRDefault="00775364"/>
    <w:sectPr w:rsidR="0077536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8653102">
    <w:abstractNumId w:val="1"/>
  </w:num>
  <w:num w:numId="2" w16cid:durableId="63629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560946"/>
    <w:rsid w:val="005E66C0"/>
    <w:rsid w:val="00734454"/>
    <w:rsid w:val="00775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93C8"/>
  <w15:docId w15:val="{8B70E151-9833-43E1-8EA2-9D2ACA53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cp:lastModifiedBy>
  <cp:revision>2</cp:revision>
  <dcterms:created xsi:type="dcterms:W3CDTF">2025-12-19T12:49:00Z</dcterms:created>
  <dcterms:modified xsi:type="dcterms:W3CDTF">2025-12-19T12:49:00Z</dcterms:modified>
</cp:coreProperties>
</file>