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4633" w14:textId="11467BDD" w:rsidR="00DD2966" w:rsidRDefault="00DD2966">
      <w:pPr>
        <w:spacing w:after="75"/>
        <w:jc w:val="center"/>
      </w:pPr>
      <w:bookmarkStart w:id="0" w:name="1"/>
    </w:p>
    <w:p w14:paraId="69DEF0C9" w14:textId="77777777" w:rsidR="00DD2966" w:rsidRDefault="00000000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НАЦІОНАЛЬНА КОМІСІЯ З ЦІННИХ ПАПЕРІВ ТА ФОНДОВОГО РИНКУ</w:t>
      </w:r>
    </w:p>
    <w:p w14:paraId="28C83C31" w14:textId="77777777" w:rsidR="00DD2966" w:rsidRDefault="00000000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40"/>
        </w:rPr>
        <w:t>РІШЕННЯ</w:t>
      </w:r>
    </w:p>
    <w:p w14:paraId="24B9F03B" w14:textId="77777777" w:rsidR="00DD2966" w:rsidRDefault="00000000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24"/>
        </w:rPr>
        <w:t>від 3 жовтня 2025 року N 09/21/2977/К03</w:t>
      </w:r>
    </w:p>
    <w:p w14:paraId="0C41C567" w14:textId="77777777" w:rsidR="00DD2966" w:rsidRDefault="00000000">
      <w:pPr>
        <w:pStyle w:val="2"/>
        <w:spacing w:after="225"/>
        <w:jc w:val="center"/>
      </w:pPr>
      <w:bookmarkStart w:id="4" w:name="5"/>
      <w:bookmarkEnd w:id="3"/>
      <w:r>
        <w:rPr>
          <w:rFonts w:ascii="Arial" w:hAnsi="Arial"/>
          <w:color w:val="000000"/>
          <w:sz w:val="40"/>
        </w:rPr>
        <w:t>Про внесення змін до Порядку ведення облікової системи часток товариств з обмеженою відповідальністю та товариств з додатковою відповідальністю</w:t>
      </w:r>
    </w:p>
    <w:p w14:paraId="523EBC36" w14:textId="77777777" w:rsidR="00DD2966" w:rsidRDefault="00000000">
      <w:pPr>
        <w:spacing w:after="75"/>
        <w:ind w:firstLine="240"/>
        <w:jc w:val="both"/>
      </w:pPr>
      <w:bookmarkStart w:id="5" w:name="6"/>
      <w:bookmarkEnd w:id="4"/>
      <w:r>
        <w:rPr>
          <w:rFonts w:ascii="Arial" w:hAnsi="Arial"/>
          <w:color w:val="000000"/>
          <w:sz w:val="24"/>
        </w:rPr>
        <w:t xml:space="preserve">Відповідно до </w:t>
      </w:r>
      <w:r>
        <w:rPr>
          <w:rFonts w:ascii="Arial" w:hAnsi="Arial"/>
          <w:color w:val="293A55"/>
          <w:sz w:val="24"/>
        </w:rPr>
        <w:t>пунктів 106</w:t>
      </w:r>
      <w:r>
        <w:rPr>
          <w:rFonts w:ascii="Arial" w:hAnsi="Arial"/>
          <w:color w:val="000000"/>
          <w:sz w:val="24"/>
        </w:rPr>
        <w:t xml:space="preserve">, </w:t>
      </w:r>
      <w:r>
        <w:rPr>
          <w:rFonts w:ascii="Arial" w:hAnsi="Arial"/>
          <w:color w:val="293A55"/>
          <w:sz w:val="24"/>
        </w:rPr>
        <w:t>107 частини першої статті 7</w:t>
      </w:r>
      <w:r>
        <w:rPr>
          <w:rFonts w:ascii="Arial" w:hAnsi="Arial"/>
          <w:color w:val="000000"/>
          <w:sz w:val="24"/>
        </w:rPr>
        <w:t xml:space="preserve">, </w:t>
      </w:r>
      <w:r>
        <w:rPr>
          <w:rFonts w:ascii="Arial" w:hAnsi="Arial"/>
          <w:color w:val="293A55"/>
          <w:sz w:val="24"/>
        </w:rPr>
        <w:t>частин першої</w:t>
      </w:r>
      <w:r>
        <w:rPr>
          <w:rFonts w:ascii="Arial" w:hAnsi="Arial"/>
          <w:color w:val="000000"/>
          <w:sz w:val="24"/>
        </w:rPr>
        <w:t xml:space="preserve"> та </w:t>
      </w:r>
      <w:r>
        <w:rPr>
          <w:rFonts w:ascii="Arial" w:hAnsi="Arial"/>
          <w:color w:val="293A55"/>
          <w:sz w:val="24"/>
        </w:rPr>
        <w:t>четвертої статті 29 Закону України "Про державне регулювання ринків капіталу та організованих товарних ринків"</w:t>
      </w:r>
      <w:r>
        <w:rPr>
          <w:rFonts w:ascii="Arial" w:hAnsi="Arial"/>
          <w:color w:val="000000"/>
          <w:sz w:val="24"/>
        </w:rPr>
        <w:t xml:space="preserve">, </w:t>
      </w:r>
      <w:r>
        <w:rPr>
          <w:rFonts w:ascii="Arial" w:hAnsi="Arial"/>
          <w:color w:val="293A55"/>
          <w:sz w:val="24"/>
        </w:rPr>
        <w:t>статей 27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293A55"/>
          <w:sz w:val="24"/>
        </w:rPr>
        <w:t>- 27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293A55"/>
          <w:sz w:val="24"/>
        </w:rPr>
        <w:t>Закону України "Про депозитарну систему України"</w:t>
      </w:r>
      <w:r>
        <w:rPr>
          <w:rFonts w:ascii="Arial" w:hAnsi="Arial"/>
          <w:color w:val="000000"/>
          <w:sz w:val="24"/>
        </w:rPr>
        <w:t xml:space="preserve">, </w:t>
      </w:r>
      <w:r>
        <w:rPr>
          <w:rFonts w:ascii="Arial" w:hAnsi="Arial"/>
          <w:color w:val="293A55"/>
          <w:sz w:val="24"/>
        </w:rPr>
        <w:t>пункту 12 розділу XIX Прикінцевих та перехідних положень Закону України "Про акціонерні товариства"</w:t>
      </w:r>
      <w:r>
        <w:rPr>
          <w:rFonts w:ascii="Arial" w:hAnsi="Arial"/>
          <w:color w:val="000000"/>
          <w:sz w:val="24"/>
        </w:rPr>
        <w:t xml:space="preserve">, з метою вдосконалення нормативно-правової бази НКЦПФР та підвищення ефективності регулювання ринків капіталу Національна комісія з цінних паперів та фондового ринку </w:t>
      </w:r>
      <w:r>
        <w:rPr>
          <w:rFonts w:ascii="Arial" w:hAnsi="Arial"/>
          <w:b/>
          <w:color w:val="000000"/>
          <w:sz w:val="24"/>
        </w:rPr>
        <w:t>вирішила</w:t>
      </w:r>
      <w:r>
        <w:rPr>
          <w:rFonts w:ascii="Arial" w:hAnsi="Arial"/>
          <w:color w:val="000000"/>
          <w:sz w:val="24"/>
        </w:rPr>
        <w:t>:</w:t>
      </w:r>
    </w:p>
    <w:p w14:paraId="4BC73B82" w14:textId="77777777" w:rsidR="00DD2966" w:rsidRDefault="00000000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24"/>
        </w:rPr>
        <w:t xml:space="preserve">1. </w:t>
      </w:r>
      <w:proofErr w:type="spellStart"/>
      <w:r>
        <w:rPr>
          <w:rFonts w:ascii="Arial" w:hAnsi="Arial"/>
          <w:color w:val="000000"/>
          <w:sz w:val="24"/>
        </w:rPr>
        <w:t>Внести</w:t>
      </w:r>
      <w:proofErr w:type="spellEnd"/>
      <w:r>
        <w:rPr>
          <w:rFonts w:ascii="Arial" w:hAnsi="Arial"/>
          <w:color w:val="000000"/>
          <w:sz w:val="24"/>
        </w:rPr>
        <w:t xml:space="preserve"> до Порядку ведення облікової системи часток товариств з обмеженою відповідальністю та товариств з додатковою відповідальністю, затвердженого </w:t>
      </w:r>
      <w:r>
        <w:rPr>
          <w:rFonts w:ascii="Arial" w:hAnsi="Arial"/>
          <w:color w:val="293A55"/>
          <w:sz w:val="24"/>
        </w:rPr>
        <w:t>рішенням Національної комісії з цінних паперів та фондового ринку від 17 травня 2023 року N 525</w:t>
      </w:r>
      <w:r>
        <w:rPr>
          <w:rFonts w:ascii="Arial" w:hAnsi="Arial"/>
          <w:color w:val="000000"/>
          <w:sz w:val="24"/>
        </w:rPr>
        <w:t>, такі зміни:</w:t>
      </w:r>
    </w:p>
    <w:p w14:paraId="3542C68A" w14:textId="77777777" w:rsidR="00DD2966" w:rsidRDefault="00000000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24"/>
        </w:rPr>
        <w:t>1) пункт 14 розділу II доповнити абзацом третім такого змісту:</w:t>
      </w:r>
    </w:p>
    <w:p w14:paraId="5DC76D94" w14:textId="77777777" w:rsidR="00DD2966" w:rsidRDefault="00000000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24"/>
        </w:rPr>
        <w:t>"Право власності на частку переходить до учасника товариства - нового власника з моменту зарахування цієї частки на рахунок такого учасника товариства, що відкритий в обліковій системі часток.".</w:t>
      </w:r>
    </w:p>
    <w:p w14:paraId="46C3B19D" w14:textId="77777777" w:rsidR="00DD2966" w:rsidRDefault="00000000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24"/>
        </w:rPr>
        <w:t>У зв'язку з цим абзац третій вважати абзацом четвертим;</w:t>
      </w:r>
    </w:p>
    <w:p w14:paraId="5C81AE9F" w14:textId="77777777" w:rsidR="00DD2966" w:rsidRDefault="00000000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24"/>
        </w:rPr>
        <w:t>2) у розділі III:</w:t>
      </w:r>
    </w:p>
    <w:p w14:paraId="7614FAC0" w14:textId="77777777" w:rsidR="00DD2966" w:rsidRDefault="00000000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24"/>
        </w:rPr>
        <w:t>пункт 14 виключити;</w:t>
      </w:r>
    </w:p>
    <w:p w14:paraId="1DE494A8" w14:textId="77777777" w:rsidR="00DD2966" w:rsidRDefault="00000000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24"/>
        </w:rPr>
        <w:t>абзац дев'ятий пункту 18 замінити вісьмома новими абзацами такого змісту:</w:t>
      </w:r>
    </w:p>
    <w:p w14:paraId="6527C313" w14:textId="77777777" w:rsidR="00DD2966" w:rsidRDefault="00000000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24"/>
        </w:rPr>
        <w:t>"Внесення змін до облікової системи часток щодо переведення обслуговування рахунку учасника товариства здійснюється Центральним депозитарієм в порядку, передбаченому внутрішніми документами Центрального депозитарію, на підставі:</w:t>
      </w:r>
    </w:p>
    <w:p w14:paraId="4173AC22" w14:textId="77777777" w:rsidR="00DD2966" w:rsidRDefault="00000000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000000"/>
          <w:sz w:val="24"/>
        </w:rPr>
        <w:t xml:space="preserve">1) відповідного розпорядження нової уповноваженої депозитарної установи, з якою учасником товариства укладений договір щодо обслуговування рахунку (рахунків) учасника товариства, та повідомлення попередньої уповноваженої </w:t>
      </w:r>
      <w:r>
        <w:rPr>
          <w:rFonts w:ascii="Arial" w:hAnsi="Arial"/>
          <w:color w:val="000000"/>
          <w:sz w:val="24"/>
        </w:rPr>
        <w:lastRenderedPageBreak/>
        <w:t>депозитарної установи про згоду на переведення обслуговування рахунку учасника товариства, якщо умовами укладеного нею з учасником товариства договору щодо обслуговування рахунку (рахунків) учасника товариства передбачено надання такої згоди - у разі переведення обслуговування рахунку учасника товариства з однієї уповноваженої депозитарної установи до іншої;</w:t>
      </w:r>
    </w:p>
    <w:p w14:paraId="0D9F7457" w14:textId="77777777" w:rsidR="00DD2966" w:rsidRDefault="00000000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24"/>
        </w:rPr>
        <w:t>2) відповідного розпорядження уповноваженої депозитарної установи, з якою учасником товариства укладений договір щодо обслуговування рахунку (рахунків) учасника товариства, та внутрішнього розпорядження Центрального депозитарію - у разі переведення обслуговування рахунку учасника товариства з Центрального депозитарію до уповноваженої депозитарної установи;</w:t>
      </w:r>
    </w:p>
    <w:p w14:paraId="393ED4DE" w14:textId="77777777" w:rsidR="00DD2966" w:rsidRDefault="00000000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24"/>
        </w:rPr>
        <w:t>3) внутрішнього розпорядження Центрального депозитарію, який з відповідним учасником товариства уклав договір щодо обслуговування рахунку (рахунків) учасника товариства, та повідомлення уповноваженої депозитарної установи про згоду на переведення обслуговування рахунку учасника товариства, якщо умовами укладеного нею з учасником товариства договору щодо обслуговування рахунку (рахунків) учасника товариства передбачено надання такої згоди - у разі переведення обслуговування рахунку учасника товариства з уповноваженої депозитарної установи до Центрального депозитарію.</w:t>
      </w:r>
    </w:p>
    <w:p w14:paraId="3A792962" w14:textId="77777777" w:rsidR="00DD2966" w:rsidRDefault="00000000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24"/>
        </w:rPr>
        <w:t>Уповноважена депозитарна установа, якій Центральний депозитарій надав запит про надання згоди на переведення обслуговування рахунку учасника товариства, за формою та у порядку, передбаченому внутрішніми документами Центрального депозитарію та/або укладеним з Центральним депозитарієм договором, не пізніше трьох робочих днів з дня його надання надає Центральному депозитарію повідомлення про згоду / відмову на переведення обслуговування рахунку учасника товариства.</w:t>
      </w:r>
    </w:p>
    <w:p w14:paraId="55355B2F" w14:textId="77777777" w:rsidR="00DD2966" w:rsidRDefault="00000000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24"/>
        </w:rPr>
        <w:t>Повідомлення про відмову на переведення обслуговування рахунку учасника товариства надається Центральному депозитарію та учаснику товариства із зазначенням підстав відповідно до умов укладеного з учасником товариства договору щодо обслуговування рахунку (рахунків) учасника товариства.</w:t>
      </w:r>
    </w:p>
    <w:p w14:paraId="7AF7F7F5" w14:textId="77777777" w:rsidR="00DD2966" w:rsidRDefault="00000000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24"/>
        </w:rPr>
        <w:t>У разі якщо протягом трьох робочих днів з дня надання Центральним депозитарієм відповідній уповноваженій депозитарній установі запиту про надання згоди на переведення обслуговування рахунку учасника товариства така уповноважена депозитарна установа не надала Центральному депозитарію повідомлення про згоду / відмову на переведення обслуговування рахунку учасника товариства, то вважається, що за мовчазною згодою цією уповноваженою депозитарною установою надана згода на переведення обслуговування рахунку учасника товариства, яка є підставою для внесення змін до облікової системи часток у випадках, передбачених підпунктами 1, 3 цього пункту.</w:t>
      </w:r>
    </w:p>
    <w:p w14:paraId="15F062B3" w14:textId="77777777" w:rsidR="00DD2966" w:rsidRDefault="00000000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24"/>
        </w:rPr>
        <w:lastRenderedPageBreak/>
        <w:t>Повідомлення про згоду на переведення не вимагається та не надається уповноваженою депозитарною установою у випадках, визначених пунктами 24 та 33 цього Порядку.";</w:t>
      </w:r>
    </w:p>
    <w:p w14:paraId="420727B2" w14:textId="77777777" w:rsidR="00DD2966" w:rsidRDefault="00000000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24"/>
        </w:rPr>
        <w:t>абзац третій пункту 24 викласти в такій редакції:</w:t>
      </w:r>
    </w:p>
    <w:p w14:paraId="278ABA1F" w14:textId="77777777" w:rsidR="00DD2966" w:rsidRDefault="00000000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24"/>
        </w:rPr>
        <w:t>"Внесення змін до облікової системи часток щодо переведення обслуговування рахунку учасника товариства - держави з уповноваженої депозитарної установи / Центрального депозитарію до іншої уповноваженої депозитарної установи / Центрального депозитарію здійснюється в порядку, передбаченому абзацами дев'ятим - дванадцятим пункту 18 цього розділу (крім необхідності надання попередньою уповноваженою депозитарною установою згоди на переведення обслуговування рахунку учасника товариства - держави).";</w:t>
      </w:r>
    </w:p>
    <w:p w14:paraId="101304AA" w14:textId="77777777" w:rsidR="00DD2966" w:rsidRDefault="00000000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24"/>
        </w:rPr>
        <w:t>підпункт 4 пункту 27 доповнити новим абзацом шостим такого змісту:</w:t>
      </w:r>
    </w:p>
    <w:p w14:paraId="44A6B996" w14:textId="77777777" w:rsidR="00DD2966" w:rsidRDefault="00000000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color w:val="000000"/>
          <w:sz w:val="24"/>
        </w:rPr>
        <w:t>"Внесення змін до облікової системи часток щодо збільшення / зменшення статутного капіталу товариства за рішенням загальних зборів учасників товариства, що не пов'язане з включенням / виключенням учасників товариства до / зі складу учасників, здійснюється Центральним депозитарієм на підставі документів, отриманих згідно з цим підпунктом, як безумовні операції щодо рахунків учасників товариства для відображення відповідних змін щодо належної кожному учаснику товариства розміру частки товариства.";</w:t>
      </w:r>
    </w:p>
    <w:p w14:paraId="4B2A8270" w14:textId="77777777" w:rsidR="00DD2966" w:rsidRDefault="00000000">
      <w:pPr>
        <w:spacing w:after="75"/>
        <w:ind w:firstLine="240"/>
        <w:jc w:val="both"/>
      </w:pPr>
      <w:bookmarkStart w:id="25" w:name="26"/>
      <w:bookmarkEnd w:id="24"/>
      <w:r>
        <w:rPr>
          <w:rFonts w:ascii="Arial" w:hAnsi="Arial"/>
          <w:color w:val="000000"/>
          <w:sz w:val="24"/>
        </w:rPr>
        <w:t>абзац перший пункту 31 після слів "до облікової системи часток" доповнити словами "(далі - розпорядження, вимога, документи)";</w:t>
      </w:r>
    </w:p>
    <w:p w14:paraId="38DADF73" w14:textId="77777777" w:rsidR="00DD2966" w:rsidRDefault="00000000">
      <w:pPr>
        <w:spacing w:after="75"/>
        <w:ind w:firstLine="240"/>
        <w:jc w:val="both"/>
      </w:pPr>
      <w:bookmarkStart w:id="26" w:name="27"/>
      <w:bookmarkEnd w:id="25"/>
      <w:r>
        <w:rPr>
          <w:rFonts w:ascii="Arial" w:hAnsi="Arial"/>
          <w:color w:val="000000"/>
          <w:sz w:val="24"/>
        </w:rPr>
        <w:t>пункт 32 викласти в такій редакції:</w:t>
      </w:r>
    </w:p>
    <w:p w14:paraId="3FBB13AC" w14:textId="77777777" w:rsidR="00DD2966" w:rsidRDefault="00000000">
      <w:pPr>
        <w:spacing w:after="75"/>
        <w:ind w:firstLine="240"/>
        <w:jc w:val="both"/>
      </w:pPr>
      <w:bookmarkStart w:id="27" w:name="28"/>
      <w:bookmarkEnd w:id="26"/>
      <w:r>
        <w:rPr>
          <w:rFonts w:ascii="Arial" w:hAnsi="Arial"/>
          <w:color w:val="000000"/>
          <w:sz w:val="24"/>
        </w:rPr>
        <w:t>"32. Підставами для відмови у внесенні Центральним депозитарієм змін до облікової системи часток, в прийнятті Центральним депозитарієм / депозитарною установою до виконання розпоряджень, вимог, документів є:</w:t>
      </w:r>
    </w:p>
    <w:p w14:paraId="06EE7F9C" w14:textId="77777777" w:rsidR="00DD2966" w:rsidRDefault="00000000">
      <w:pPr>
        <w:spacing w:after="75"/>
        <w:ind w:firstLine="240"/>
        <w:jc w:val="both"/>
      </w:pPr>
      <w:bookmarkStart w:id="28" w:name="29"/>
      <w:bookmarkEnd w:id="27"/>
      <w:r>
        <w:rPr>
          <w:rFonts w:ascii="Arial" w:hAnsi="Arial"/>
          <w:color w:val="000000"/>
          <w:sz w:val="24"/>
        </w:rPr>
        <w:t>1) розпорядження, вимога, документи не відповідають вимогам законодавства та/або внутрішнім документам Центрального депозитарію, уповноваженої депозитарної установи;</w:t>
      </w:r>
    </w:p>
    <w:p w14:paraId="06A23A26" w14:textId="77777777" w:rsidR="00DD2966" w:rsidRDefault="00000000">
      <w:pPr>
        <w:spacing w:after="75"/>
        <w:ind w:firstLine="240"/>
        <w:jc w:val="both"/>
      </w:pPr>
      <w:bookmarkStart w:id="29" w:name="30"/>
      <w:bookmarkEnd w:id="28"/>
      <w:r>
        <w:rPr>
          <w:rFonts w:ascii="Arial" w:hAnsi="Arial"/>
          <w:color w:val="000000"/>
          <w:sz w:val="24"/>
        </w:rPr>
        <w:t>2) розмір частки, щодо якої ініційовано проведення операції, перевищує розмір частки, що обліковується на рахунку в обліковій системі часток, скоригований на розмір частки, щодо якої вже ініційовано внесення змін до облікової системи часток відповідно до раніше прийнятих, але ще не виконаних розпоряджень, вимог, документів;</w:t>
      </w:r>
    </w:p>
    <w:p w14:paraId="189D794E" w14:textId="77777777" w:rsidR="00DD2966" w:rsidRDefault="00000000">
      <w:pPr>
        <w:spacing w:after="75"/>
        <w:ind w:firstLine="240"/>
        <w:jc w:val="both"/>
      </w:pPr>
      <w:bookmarkStart w:id="30" w:name="31"/>
      <w:bookmarkEnd w:id="29"/>
      <w:r>
        <w:rPr>
          <w:rFonts w:ascii="Arial" w:hAnsi="Arial"/>
          <w:color w:val="000000"/>
          <w:sz w:val="24"/>
        </w:rPr>
        <w:t>3) частка, щодо якої ініційовано внесення змін до облікової системи часток, заблокована у зв'язку з обтяженнями її зобов'язаннями або іншим обмеженням в обігу та/або на підставі судових рішень / постанов або рішень уповноваженого законом органу чи його посадової особи, які передбачають заборону внесення змін до облікової системи часток, та інформація про які наявна в обліковій системі часток;</w:t>
      </w:r>
    </w:p>
    <w:p w14:paraId="6C437355" w14:textId="77777777" w:rsidR="00DD2966" w:rsidRDefault="00000000">
      <w:pPr>
        <w:spacing w:after="75"/>
        <w:ind w:firstLine="240"/>
        <w:jc w:val="both"/>
      </w:pPr>
      <w:bookmarkStart w:id="31" w:name="32"/>
      <w:bookmarkEnd w:id="30"/>
      <w:r>
        <w:rPr>
          <w:rFonts w:ascii="Arial" w:hAnsi="Arial"/>
          <w:color w:val="000000"/>
          <w:sz w:val="24"/>
        </w:rPr>
        <w:lastRenderedPageBreak/>
        <w:t>4) рахунок, щодо якого надані розпорядження, вимога, документи, заблокований на підставі визначених законодавством документів;</w:t>
      </w:r>
    </w:p>
    <w:p w14:paraId="72AC8773" w14:textId="77777777" w:rsidR="00DD2966" w:rsidRDefault="00000000">
      <w:pPr>
        <w:spacing w:after="75"/>
        <w:ind w:firstLine="240"/>
        <w:jc w:val="both"/>
      </w:pPr>
      <w:bookmarkStart w:id="32" w:name="33"/>
      <w:bookmarkEnd w:id="31"/>
      <w:r>
        <w:rPr>
          <w:rFonts w:ascii="Arial" w:hAnsi="Arial"/>
          <w:color w:val="000000"/>
          <w:sz w:val="24"/>
        </w:rPr>
        <w:t>5) надання розпорядження, вимоги, документів учасником товариства та/або керуючим рахунком учасника товариства щодо належної такому учаснику частки товариства, яка передана в управління АРМА / Управителю відповідно до пункту 23 цього розділу;</w:t>
      </w:r>
    </w:p>
    <w:p w14:paraId="5FD5457B" w14:textId="77777777" w:rsidR="00DD2966" w:rsidRDefault="00000000">
      <w:pPr>
        <w:spacing w:after="75"/>
        <w:ind w:firstLine="240"/>
        <w:jc w:val="both"/>
      </w:pPr>
      <w:bookmarkStart w:id="33" w:name="34"/>
      <w:bookmarkEnd w:id="32"/>
      <w:r>
        <w:rPr>
          <w:rFonts w:ascii="Arial" w:hAnsi="Arial"/>
          <w:color w:val="000000"/>
          <w:sz w:val="24"/>
        </w:rPr>
        <w:t>6) заборона щодо реєстрації зміни права власності на частки товариства в дату проведення загальних зборів учасників товариства, у разі проведення відповідних загальних зборів із застосуванням засобів електронних комунікацій через облікову систему часток або у випадку, передбаченому абзацом другим пункту 11 розділу II та підпунктом 4 пункту 27 розділу III цього Порядку;</w:t>
      </w:r>
    </w:p>
    <w:p w14:paraId="13D75F85" w14:textId="77777777" w:rsidR="00DD2966" w:rsidRDefault="00000000">
      <w:pPr>
        <w:spacing w:after="75"/>
        <w:ind w:firstLine="240"/>
        <w:jc w:val="both"/>
      </w:pPr>
      <w:bookmarkStart w:id="34" w:name="35"/>
      <w:bookmarkEnd w:id="33"/>
      <w:r>
        <w:rPr>
          <w:rFonts w:ascii="Arial" w:hAnsi="Arial"/>
          <w:color w:val="000000"/>
          <w:sz w:val="24"/>
        </w:rPr>
        <w:t>7) блокування проведення в обліковій системі часток операцій у зв'язку з поданням Центральним депозитарієм до Міністерства юстиції України заяви про державну реєстрацію відомостей щодо припинення обліку часток товариства в обліковій системі часток відповідно до пункту 38 розділу IV цього Порядку;</w:t>
      </w:r>
    </w:p>
    <w:p w14:paraId="48783101" w14:textId="77777777" w:rsidR="00DD2966" w:rsidRDefault="00000000">
      <w:pPr>
        <w:spacing w:after="75"/>
        <w:ind w:firstLine="240"/>
        <w:jc w:val="both"/>
      </w:pPr>
      <w:bookmarkStart w:id="35" w:name="36"/>
      <w:bookmarkEnd w:id="34"/>
      <w:r>
        <w:rPr>
          <w:rFonts w:ascii="Arial" w:hAnsi="Arial"/>
          <w:color w:val="000000"/>
          <w:sz w:val="24"/>
        </w:rPr>
        <w:t>8) невнесення до Єдиного державного реєстру інформації про зміну розміру статутного капіталу товариства (при внесенні змін у випадках, передбачених підпунктами 4 та 5 пункту 27 розділу III цього Порядку);</w:t>
      </w:r>
    </w:p>
    <w:p w14:paraId="45FCDC56" w14:textId="77777777" w:rsidR="00DD2966" w:rsidRDefault="00000000">
      <w:pPr>
        <w:spacing w:after="75"/>
        <w:ind w:firstLine="240"/>
        <w:jc w:val="both"/>
      </w:pPr>
      <w:bookmarkStart w:id="36" w:name="37"/>
      <w:bookmarkEnd w:id="35"/>
      <w:r>
        <w:rPr>
          <w:rFonts w:ascii="Arial" w:hAnsi="Arial"/>
          <w:color w:val="000000"/>
          <w:sz w:val="24"/>
        </w:rPr>
        <w:t>9) несплата товариством, учасником товариства, уповноваженою депозитарною установою послуг Центрального депозитарію, уповноваженої депозитарної установи, якщо це передбачено відповідним договором (договором щодо обліку часток товариства в обліковій системі часток, договором щодо обслуговування рахунку(</w:t>
      </w:r>
      <w:proofErr w:type="spellStart"/>
      <w:r>
        <w:rPr>
          <w:rFonts w:ascii="Arial" w:hAnsi="Arial"/>
          <w:color w:val="000000"/>
          <w:sz w:val="24"/>
        </w:rPr>
        <w:t>ів</w:t>
      </w:r>
      <w:proofErr w:type="spellEnd"/>
      <w:r>
        <w:rPr>
          <w:rFonts w:ascii="Arial" w:hAnsi="Arial"/>
          <w:color w:val="000000"/>
          <w:sz w:val="24"/>
        </w:rPr>
        <w:t>) учасника товариства, договором щодо взаємодії з уповноваженою депозитарною установою, договором рахунка умовного зберігання (</w:t>
      </w:r>
      <w:proofErr w:type="spellStart"/>
      <w:r>
        <w:rPr>
          <w:rFonts w:ascii="Arial" w:hAnsi="Arial"/>
          <w:color w:val="000000"/>
          <w:sz w:val="24"/>
        </w:rPr>
        <w:t>ескроу</w:t>
      </w:r>
      <w:proofErr w:type="spellEnd"/>
      <w:r>
        <w:rPr>
          <w:rFonts w:ascii="Arial" w:hAnsi="Arial"/>
          <w:color w:val="000000"/>
          <w:sz w:val="24"/>
        </w:rPr>
        <w:t>) часток товариства);</w:t>
      </w:r>
    </w:p>
    <w:p w14:paraId="109DBB71" w14:textId="77777777" w:rsidR="00DD2966" w:rsidRDefault="00000000">
      <w:pPr>
        <w:spacing w:after="75"/>
        <w:ind w:firstLine="240"/>
        <w:jc w:val="both"/>
      </w:pPr>
      <w:bookmarkStart w:id="37" w:name="38"/>
      <w:bookmarkEnd w:id="36"/>
      <w:r>
        <w:rPr>
          <w:rFonts w:ascii="Arial" w:hAnsi="Arial"/>
          <w:color w:val="000000"/>
          <w:sz w:val="24"/>
        </w:rPr>
        <w:t>10) відсутність повідомлення про згоду заставодержателя на переведення обслуговування рахунку учасника товариства до нової уповноваженої депозитарної установи / Центрального депозитарію (у разі якщо на рахунку учасника товариства обліковується частка, що передана в заставу);</w:t>
      </w:r>
    </w:p>
    <w:p w14:paraId="0E2C9C9F" w14:textId="77777777" w:rsidR="00DD2966" w:rsidRDefault="00000000">
      <w:pPr>
        <w:spacing w:after="75"/>
        <w:ind w:firstLine="240"/>
        <w:jc w:val="both"/>
      </w:pPr>
      <w:bookmarkStart w:id="38" w:name="39"/>
      <w:bookmarkEnd w:id="37"/>
      <w:r>
        <w:rPr>
          <w:rFonts w:ascii="Arial" w:hAnsi="Arial"/>
          <w:color w:val="000000"/>
          <w:sz w:val="24"/>
        </w:rPr>
        <w:t xml:space="preserve">11) внесення змін до облікової системи часток порушуватиме спеціальні економічні та інші обмежувальні заходи (санкції), застосовані до учасника товариства відповідно до </w:t>
      </w:r>
      <w:r>
        <w:rPr>
          <w:rFonts w:ascii="Arial" w:hAnsi="Arial"/>
          <w:color w:val="293A55"/>
          <w:sz w:val="24"/>
        </w:rPr>
        <w:t>Закону України "Про санкції"</w:t>
      </w:r>
      <w:r>
        <w:rPr>
          <w:rFonts w:ascii="Arial" w:hAnsi="Arial"/>
          <w:color w:val="000000"/>
          <w:sz w:val="24"/>
        </w:rPr>
        <w:t>;</w:t>
      </w:r>
    </w:p>
    <w:p w14:paraId="60812693" w14:textId="77777777" w:rsidR="00DD2966" w:rsidRDefault="00000000">
      <w:pPr>
        <w:spacing w:after="75"/>
        <w:ind w:firstLine="240"/>
        <w:jc w:val="both"/>
      </w:pPr>
      <w:bookmarkStart w:id="39" w:name="40"/>
      <w:bookmarkEnd w:id="38"/>
      <w:r>
        <w:rPr>
          <w:rFonts w:ascii="Arial" w:hAnsi="Arial"/>
          <w:color w:val="000000"/>
          <w:sz w:val="24"/>
        </w:rPr>
        <w:t>12) надання уповноваженою депозитарною установою повідомлення про відмову на переведення обслуговування рахунку учасника товариства;</w:t>
      </w:r>
    </w:p>
    <w:p w14:paraId="55B1B2B0" w14:textId="77777777" w:rsidR="00DD2966" w:rsidRDefault="00000000">
      <w:pPr>
        <w:spacing w:after="75"/>
        <w:ind w:firstLine="240"/>
        <w:jc w:val="both"/>
      </w:pPr>
      <w:bookmarkStart w:id="40" w:name="41"/>
      <w:bookmarkEnd w:id="39"/>
      <w:r>
        <w:rPr>
          <w:rFonts w:ascii="Arial" w:hAnsi="Arial"/>
          <w:color w:val="000000"/>
          <w:sz w:val="24"/>
        </w:rPr>
        <w:t>13) інші підстави, які згідно із законодавством встановлюють вимоги до діяльності товариств та/або впливають на проведення операцій в обліковій системі часток, та/або визначені договором щодо обліку часток товариства в обліковій системі часток, договором щодо обслуговування рахунку(</w:t>
      </w:r>
      <w:proofErr w:type="spellStart"/>
      <w:r>
        <w:rPr>
          <w:rFonts w:ascii="Arial" w:hAnsi="Arial"/>
          <w:color w:val="000000"/>
          <w:sz w:val="24"/>
        </w:rPr>
        <w:t>ів</w:t>
      </w:r>
      <w:proofErr w:type="spellEnd"/>
      <w:r>
        <w:rPr>
          <w:rFonts w:ascii="Arial" w:hAnsi="Arial"/>
          <w:color w:val="000000"/>
          <w:sz w:val="24"/>
        </w:rPr>
        <w:t xml:space="preserve">) учасника товариства, договором щодо взаємодії з уповноваженою депозитарною </w:t>
      </w:r>
      <w:r>
        <w:rPr>
          <w:rFonts w:ascii="Arial" w:hAnsi="Arial"/>
          <w:color w:val="000000"/>
          <w:sz w:val="24"/>
        </w:rPr>
        <w:lastRenderedPageBreak/>
        <w:t>установою, договором рахунка умовного зберігання (</w:t>
      </w:r>
      <w:proofErr w:type="spellStart"/>
      <w:r>
        <w:rPr>
          <w:rFonts w:ascii="Arial" w:hAnsi="Arial"/>
          <w:color w:val="000000"/>
          <w:sz w:val="24"/>
        </w:rPr>
        <w:t>ескроу</w:t>
      </w:r>
      <w:proofErr w:type="spellEnd"/>
      <w:r>
        <w:rPr>
          <w:rFonts w:ascii="Arial" w:hAnsi="Arial"/>
          <w:color w:val="000000"/>
          <w:sz w:val="24"/>
        </w:rPr>
        <w:t>) часток товариства.";</w:t>
      </w:r>
    </w:p>
    <w:p w14:paraId="1D20E940" w14:textId="77777777" w:rsidR="00DD2966" w:rsidRDefault="00000000">
      <w:pPr>
        <w:spacing w:after="75"/>
        <w:ind w:firstLine="240"/>
        <w:jc w:val="both"/>
      </w:pPr>
      <w:bookmarkStart w:id="41" w:name="42"/>
      <w:bookmarkEnd w:id="40"/>
      <w:r>
        <w:rPr>
          <w:rFonts w:ascii="Arial" w:hAnsi="Arial"/>
          <w:color w:val="000000"/>
          <w:sz w:val="24"/>
        </w:rPr>
        <w:t>пункт 36 розділу IV викласти в такій редакції:</w:t>
      </w:r>
    </w:p>
    <w:p w14:paraId="12A0F187" w14:textId="77777777" w:rsidR="00DD2966" w:rsidRDefault="00000000">
      <w:pPr>
        <w:spacing w:after="75"/>
        <w:ind w:firstLine="240"/>
        <w:jc w:val="both"/>
      </w:pPr>
      <w:bookmarkStart w:id="42" w:name="43"/>
      <w:bookmarkEnd w:id="41"/>
      <w:r>
        <w:rPr>
          <w:rFonts w:ascii="Arial" w:hAnsi="Arial"/>
          <w:color w:val="000000"/>
          <w:sz w:val="24"/>
        </w:rPr>
        <w:t>"36. Рішення про припинення обліку часток товариства в обліковій системі часток може бути прийнято загальними зборами учасників виключно щодо всіх часток товариства та за умови відсутності в обліковій системі часток:</w:t>
      </w:r>
    </w:p>
    <w:p w14:paraId="435E8123" w14:textId="77777777" w:rsidR="00DD2966" w:rsidRDefault="00000000">
      <w:pPr>
        <w:spacing w:after="75"/>
        <w:ind w:firstLine="240"/>
        <w:jc w:val="both"/>
      </w:pPr>
      <w:bookmarkStart w:id="43" w:name="44"/>
      <w:bookmarkEnd w:id="42"/>
      <w:r>
        <w:rPr>
          <w:rFonts w:ascii="Arial" w:hAnsi="Arial"/>
          <w:color w:val="000000"/>
          <w:sz w:val="24"/>
        </w:rPr>
        <w:t>1) рахунків умовного зберігання (</w:t>
      </w:r>
      <w:proofErr w:type="spellStart"/>
      <w:r>
        <w:rPr>
          <w:rFonts w:ascii="Arial" w:hAnsi="Arial"/>
          <w:color w:val="000000"/>
          <w:sz w:val="24"/>
        </w:rPr>
        <w:t>ескроу</w:t>
      </w:r>
      <w:proofErr w:type="spellEnd"/>
      <w:r>
        <w:rPr>
          <w:rFonts w:ascii="Arial" w:hAnsi="Arial"/>
          <w:color w:val="000000"/>
          <w:sz w:val="24"/>
        </w:rPr>
        <w:t>) часток товариства, на яких обліковуються частки товариства;</w:t>
      </w:r>
    </w:p>
    <w:p w14:paraId="1B8D054B" w14:textId="77777777" w:rsidR="00DD2966" w:rsidRDefault="00000000">
      <w:pPr>
        <w:spacing w:after="75"/>
        <w:ind w:firstLine="240"/>
        <w:jc w:val="both"/>
      </w:pPr>
      <w:bookmarkStart w:id="44" w:name="45"/>
      <w:bookmarkEnd w:id="43"/>
      <w:r>
        <w:rPr>
          <w:rFonts w:ascii="Arial" w:hAnsi="Arial"/>
          <w:color w:val="000000"/>
          <w:sz w:val="24"/>
        </w:rPr>
        <w:t>2) рахунків учасників товариства, на яких обліковуються частки товариства, обмежені внаслідок застави (крім випадку надання згоди заставодержателем щодо припинення обліку часток товариства в обліковій системі часток).".</w:t>
      </w:r>
    </w:p>
    <w:p w14:paraId="0C10BF1A" w14:textId="77777777" w:rsidR="00DD2966" w:rsidRDefault="00000000">
      <w:pPr>
        <w:spacing w:after="75"/>
        <w:ind w:firstLine="240"/>
        <w:jc w:val="both"/>
      </w:pPr>
      <w:bookmarkStart w:id="45" w:name="46"/>
      <w:bookmarkEnd w:id="44"/>
      <w:r>
        <w:rPr>
          <w:rFonts w:ascii="Arial" w:hAnsi="Arial"/>
          <w:color w:val="000000"/>
          <w:sz w:val="24"/>
        </w:rPr>
        <w:t xml:space="preserve">2. Управлінню адміністративної діяльності забезпечити оприлюднення цього рішення на </w:t>
      </w:r>
      <w:proofErr w:type="spellStart"/>
      <w:r>
        <w:rPr>
          <w:rFonts w:ascii="Arial" w:hAnsi="Arial"/>
          <w:color w:val="000000"/>
          <w:sz w:val="24"/>
        </w:rPr>
        <w:t>вебсайті</w:t>
      </w:r>
      <w:proofErr w:type="spellEnd"/>
      <w:r>
        <w:rPr>
          <w:rFonts w:ascii="Arial" w:hAnsi="Arial"/>
          <w:color w:val="000000"/>
          <w:sz w:val="24"/>
        </w:rPr>
        <w:t xml:space="preserve"> Національної комісії з цінних паперів та фондового ринку.</w:t>
      </w:r>
    </w:p>
    <w:p w14:paraId="79800C67" w14:textId="77777777" w:rsidR="00DD2966" w:rsidRDefault="00000000">
      <w:pPr>
        <w:spacing w:after="75"/>
        <w:ind w:firstLine="240"/>
        <w:jc w:val="both"/>
      </w:pPr>
      <w:bookmarkStart w:id="46" w:name="47"/>
      <w:bookmarkEnd w:id="45"/>
      <w:r>
        <w:rPr>
          <w:rFonts w:ascii="Arial" w:hAnsi="Arial"/>
          <w:color w:val="000000"/>
          <w:sz w:val="24"/>
        </w:rPr>
        <w:t xml:space="preserve">3. Це рішення набирає чинності з дня його офіційного опублікування на офіційному </w:t>
      </w:r>
      <w:proofErr w:type="spellStart"/>
      <w:r>
        <w:rPr>
          <w:rFonts w:ascii="Arial" w:hAnsi="Arial"/>
          <w:color w:val="000000"/>
          <w:sz w:val="24"/>
        </w:rPr>
        <w:t>вебсайті</w:t>
      </w:r>
      <w:proofErr w:type="spellEnd"/>
      <w:r>
        <w:rPr>
          <w:rFonts w:ascii="Arial" w:hAnsi="Arial"/>
          <w:color w:val="000000"/>
          <w:sz w:val="24"/>
        </w:rPr>
        <w:t xml:space="preserve"> Національної комісії з цінних паперів та фондового ринку.</w:t>
      </w:r>
    </w:p>
    <w:p w14:paraId="4068C1F4" w14:textId="77777777" w:rsidR="00DD2966" w:rsidRDefault="00000000">
      <w:pPr>
        <w:spacing w:after="75"/>
        <w:ind w:firstLine="240"/>
        <w:jc w:val="both"/>
      </w:pPr>
      <w:bookmarkStart w:id="47" w:name="48"/>
      <w:bookmarkEnd w:id="46"/>
      <w:r>
        <w:rPr>
          <w:rFonts w:ascii="Arial" w:hAnsi="Arial"/>
          <w:color w:val="000000"/>
          <w:sz w:val="24"/>
        </w:rPr>
        <w:t xml:space="preserve">4. Контроль за виконанням цього рішення покласти на члена Національної комісії з цінних паперів та фондового ринку І. </w:t>
      </w:r>
      <w:proofErr w:type="spellStart"/>
      <w:r>
        <w:rPr>
          <w:rFonts w:ascii="Arial" w:hAnsi="Arial"/>
          <w:color w:val="000000"/>
          <w:sz w:val="24"/>
        </w:rPr>
        <w:t>Барамія</w:t>
      </w:r>
      <w:proofErr w:type="spellEnd"/>
      <w:r>
        <w:rPr>
          <w:rFonts w:ascii="Arial" w:hAnsi="Arial"/>
          <w:color w:val="000000"/>
          <w:sz w:val="24"/>
        </w:rPr>
        <w:t>.</w:t>
      </w:r>
    </w:p>
    <w:p w14:paraId="0DE5951F" w14:textId="77777777" w:rsidR="00DD2966" w:rsidRDefault="00000000">
      <w:pPr>
        <w:spacing w:after="75"/>
        <w:ind w:firstLine="240"/>
        <w:jc w:val="both"/>
      </w:pPr>
      <w:bookmarkStart w:id="48" w:name="49"/>
      <w:bookmarkEnd w:id="47"/>
      <w:r>
        <w:rPr>
          <w:rFonts w:ascii="Arial" w:hAnsi="Arial"/>
          <w:color w:val="000000"/>
          <w:sz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494"/>
        <w:gridCol w:w="4533"/>
      </w:tblGrid>
      <w:tr w:rsidR="00DD2966" w14:paraId="3422FDE8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3B9673D2" w14:textId="77777777" w:rsidR="00DD2966" w:rsidRDefault="00000000">
            <w:pPr>
              <w:spacing w:after="75"/>
              <w:jc w:val="center"/>
            </w:pPr>
            <w:bookmarkStart w:id="49" w:name="50"/>
            <w:bookmarkEnd w:id="48"/>
            <w:r>
              <w:rPr>
                <w:rFonts w:ascii="Arial" w:hAnsi="Arial"/>
                <w:b/>
                <w:color w:val="000000"/>
                <w:sz w:val="15"/>
              </w:rPr>
              <w:t>Голова Комісії</w:t>
            </w:r>
          </w:p>
        </w:tc>
        <w:tc>
          <w:tcPr>
            <w:tcW w:w="4845" w:type="dxa"/>
            <w:vAlign w:val="center"/>
          </w:tcPr>
          <w:p w14:paraId="15E6038D" w14:textId="77777777" w:rsidR="00DD2966" w:rsidRDefault="00000000">
            <w:pPr>
              <w:spacing w:after="75"/>
              <w:jc w:val="center"/>
            </w:pPr>
            <w:bookmarkStart w:id="50" w:name="51"/>
            <w:bookmarkEnd w:id="49"/>
            <w:r>
              <w:rPr>
                <w:rFonts w:ascii="Arial" w:hAnsi="Arial"/>
                <w:b/>
                <w:color w:val="000000"/>
                <w:sz w:val="15"/>
              </w:rPr>
              <w:t>Руслан МАГОМЕДОВ</w:t>
            </w:r>
          </w:p>
        </w:tc>
        <w:bookmarkEnd w:id="50"/>
      </w:tr>
    </w:tbl>
    <w:p w14:paraId="3D738446" w14:textId="77777777" w:rsidR="00DD2966" w:rsidRDefault="00000000">
      <w:pPr>
        <w:spacing w:after="75"/>
        <w:ind w:firstLine="240"/>
        <w:jc w:val="both"/>
      </w:pPr>
      <w:bookmarkStart w:id="51" w:name="52"/>
      <w:r>
        <w:rPr>
          <w:rFonts w:ascii="Arial" w:hAnsi="Arial"/>
          <w:color w:val="000000"/>
          <w:sz w:val="24"/>
        </w:rPr>
        <w:t xml:space="preserve"> </w:t>
      </w:r>
    </w:p>
    <w:p w14:paraId="13A646DA" w14:textId="77777777" w:rsidR="00DD2966" w:rsidRDefault="00000000">
      <w:pPr>
        <w:spacing w:after="75"/>
        <w:ind w:firstLine="240"/>
        <w:jc w:val="right"/>
      </w:pPr>
      <w:bookmarkStart w:id="52" w:name="53"/>
      <w:bookmarkEnd w:id="51"/>
      <w:r>
        <w:rPr>
          <w:rFonts w:ascii="Arial" w:hAnsi="Arial"/>
          <w:color w:val="000000"/>
          <w:sz w:val="24"/>
        </w:rPr>
        <w:t>Протокол засідання Комісії</w:t>
      </w:r>
      <w:r>
        <w:br/>
      </w:r>
      <w:r>
        <w:rPr>
          <w:rFonts w:ascii="Arial" w:hAnsi="Arial"/>
          <w:color w:val="000000"/>
          <w:sz w:val="24"/>
        </w:rPr>
        <w:t>від 03 жовтня 2025 р. N 95</w:t>
      </w:r>
    </w:p>
    <w:p w14:paraId="6CF8CF5E" w14:textId="77777777" w:rsidR="00DD2966" w:rsidRDefault="00DD2966">
      <w:pPr>
        <w:spacing w:after="75"/>
        <w:ind w:firstLine="240"/>
        <w:jc w:val="both"/>
      </w:pPr>
      <w:bookmarkStart w:id="53" w:name="54"/>
      <w:bookmarkEnd w:id="52"/>
    </w:p>
    <w:bookmarkEnd w:id="53"/>
    <w:p w14:paraId="2BEAE468" w14:textId="77777777" w:rsidR="00324F57" w:rsidRDefault="00324F57"/>
    <w:sectPr w:rsidR="00324F5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325310">
    <w:abstractNumId w:val="1"/>
  </w:num>
  <w:num w:numId="2" w16cid:durableId="6823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66"/>
    <w:rsid w:val="00324F57"/>
    <w:rsid w:val="00361DF1"/>
    <w:rsid w:val="00A367E7"/>
    <w:rsid w:val="00D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9B6CD0"/>
  <w15:docId w15:val="{418F1BFB-7C2E-CC4E-B0FC-F783D4AB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1330</Words>
  <Characters>9673</Characters>
  <Application>Microsoft Office Word</Application>
  <DocSecurity>0</DocSecurity>
  <Lines>193</Lines>
  <Paragraphs>95</Paragraphs>
  <ScaleCrop>false</ScaleCrop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Microsoft Office User</cp:lastModifiedBy>
  <cp:revision>2</cp:revision>
  <dcterms:created xsi:type="dcterms:W3CDTF">2025-10-07T11:16:00Z</dcterms:created>
  <dcterms:modified xsi:type="dcterms:W3CDTF">2025-10-07T11:16:00Z</dcterms:modified>
</cp:coreProperties>
</file>