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B0F" w:rsidRPr="00855B0F" w:rsidRDefault="00855B0F" w:rsidP="00855B0F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  <w:t>МІНІСТЕРСТВО ФІНАНСІВ УКРАЇНИ</w:t>
      </w:r>
    </w:p>
    <w:p w:rsidR="00855B0F" w:rsidRPr="00855B0F" w:rsidRDefault="00855B0F" w:rsidP="00855B0F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855B0F" w:rsidRPr="00855B0F">
        <w:tc>
          <w:tcPr>
            <w:tcW w:w="175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19.03.2026</w:t>
            </w:r>
          </w:p>
        </w:tc>
        <w:tc>
          <w:tcPr>
            <w:tcW w:w="1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157</w:t>
            </w:r>
          </w:p>
        </w:tc>
      </w:tr>
    </w:tbl>
    <w:p w:rsidR="00855B0F" w:rsidRPr="00855B0F" w:rsidRDefault="00855B0F" w:rsidP="00855B0F">
      <w:pPr>
        <w:jc w:val="center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Зареєстровано в Міністерстві юстиції України</w:t>
      </w:r>
      <w:r w:rsidRPr="00855B0F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br/>
        <w:t>20 березня 2026 р. за N 364/45758</w:t>
      </w:r>
    </w:p>
    <w:p w:rsidR="00855B0F" w:rsidRPr="00855B0F" w:rsidRDefault="00855B0F" w:rsidP="00855B0F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  <w:t>Про внесення зміни до наказу Міністерства фінансів України від 31 липня 2025 року N 379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Відповідно до </w:t>
      </w:r>
      <w:hyperlink r:id="rId4" w:tgtFrame="_blank" w:history="1">
        <w:r w:rsidRPr="00855B0F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частини першої статті 200 глави 28 розділу VI Митного кодексу України</w:t>
        </w:r>
      </w:hyperlink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, підпункту 5 пункту 4 Положення про Міністерство фінансів України, затвердженого </w:t>
      </w:r>
      <w:hyperlink r:id="rId5" w:tgtFrame="_blank" w:history="1">
        <w:r w:rsidRPr="00855B0F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постановою Кабінету Міністрів України від 20 серпня 2014 року N 375</w:t>
        </w:r>
      </w:hyperlink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,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НАКАЗУЮ: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1. Внести зміну до абзацу другого </w:t>
      </w:r>
      <w:hyperlink r:id="rId6" w:tgtFrame="_blank" w:history="1">
        <w:r w:rsidRPr="00855B0F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пункту 2 наказу Міністерства фінансів України від 31 липня 2025 року N 379 "Про затвердження Порядку відкриття та закриття місць доставки, Вимог до облаштування місць доставки та Порядку визначення товарів, які можуть бути доставлені в інше місце, узгоджене з митним органом призначення"</w:t>
        </w:r>
      </w:hyperlink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, зареєстрованого в Міністерстві юстиції України 20 серпня 2025 року за N 1222/44628, замінивши цифри та слово "19 квітня" цифрами та словом "28 вересня".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2. Департаменту митної політики Міністерства фінансів України в установленому порядку забезпечити: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подання цього наказу на державну реєстрацію до Міністерства юстиції України;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оприлюднення цього наказу.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3. Цей наказ набирає чинності з дня його офіційного опублікування.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4. Контроль за виконанням цього наказу покласти на заступника Міністра фінансів України з питань європейської інтеграції Драганчука Ю. О. та Голову Державної митної служби України.</w:t>
      </w:r>
    </w:p>
    <w:p w:rsidR="00855B0F" w:rsidRPr="00855B0F" w:rsidRDefault="00855B0F" w:rsidP="00855B0F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55B0F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55B0F" w:rsidRPr="00855B0F"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</w:t>
            </w:r>
          </w:p>
        </w:tc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МАРЧЕНКО</w:t>
            </w:r>
          </w:p>
        </w:tc>
      </w:tr>
      <w:tr w:rsidR="00855B0F" w:rsidRPr="00855B0F"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855B0F" w:rsidRPr="00855B0F"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Державної</w:t>
            </w: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регуляторної служби України</w:t>
            </w:r>
          </w:p>
        </w:tc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КУЧЕР</w:t>
            </w:r>
          </w:p>
        </w:tc>
      </w:tr>
      <w:tr w:rsidR="00855B0F" w:rsidRPr="00855B0F"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Голови Державної</w:t>
            </w: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митної служби України</w:t>
            </w:r>
          </w:p>
        </w:tc>
        <w:tc>
          <w:tcPr>
            <w:tcW w:w="2500" w:type="pct"/>
            <w:vAlign w:val="center"/>
            <w:hideMark/>
          </w:tcPr>
          <w:p w:rsidR="00855B0F" w:rsidRPr="00855B0F" w:rsidRDefault="00855B0F" w:rsidP="00855B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55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ЗВЯГІНЦЕВ</w:t>
            </w:r>
          </w:p>
        </w:tc>
      </w:tr>
    </w:tbl>
    <w:p w:rsidR="00541FFA" w:rsidRPr="00855B0F" w:rsidRDefault="00541FFA">
      <w:pPr>
        <w:rPr>
          <w:color w:val="000000" w:themeColor="text1"/>
        </w:rPr>
      </w:pPr>
    </w:p>
    <w:sectPr w:rsidR="00541FFA" w:rsidRPr="00855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0F"/>
    <w:rsid w:val="001949B8"/>
    <w:rsid w:val="00205B9A"/>
    <w:rsid w:val="00541FFA"/>
    <w:rsid w:val="00855B0F"/>
    <w:rsid w:val="008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AF07F5-DD56-B34A-9B29-8FC26188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5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B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B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B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B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B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B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B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B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B0F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855B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855B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855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44628?ed=2025_08_25&amp;an=15" TargetMode="External"/><Relationship Id="rId5" Type="http://schemas.openxmlformats.org/officeDocument/2006/relationships/hyperlink" Target="https://zakon-pro.ligazakon.net/document/KP140375?ed=2025_05_09&amp;an=29" TargetMode="External"/><Relationship Id="rId4" Type="http://schemas.openxmlformats.org/officeDocument/2006/relationships/hyperlink" Target="https://zakon-pro.ligazakon.net/document/T124495?ed=2026_01_04&amp;an=11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2026-03-23T14:02:00Z</dcterms:created>
  <dcterms:modified xsi:type="dcterms:W3CDTF">2026-03-23T14:03:00Z</dcterms:modified>
</cp:coreProperties>
</file>