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5DAB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045D42" w14:textId="77777777" w:rsidR="00B03953" w:rsidRPr="00821E74" w:rsidRDefault="00B03953" w:rsidP="00F221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b/>
          <w:sz w:val="24"/>
          <w:szCs w:val="24"/>
          <w:lang w:eastAsia="ru-RU"/>
        </w:rPr>
        <w:t>ТОВАРИСТВО З ОБМЕЖЕНОЮ ВІДПОВІДАЛЬНІСТЮ</w:t>
      </w:r>
    </w:p>
    <w:p w14:paraId="377A9BCC" w14:textId="77777777" w:rsidR="00B03953" w:rsidRPr="00821E74" w:rsidRDefault="00B03953" w:rsidP="00F221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b/>
          <w:sz w:val="24"/>
          <w:szCs w:val="24"/>
          <w:lang w:eastAsia="ru-RU"/>
        </w:rPr>
        <w:t>«НАВЧАЛЬНИЙ ЦЕНТР «ОСНОВА»</w:t>
      </w:r>
    </w:p>
    <w:p w14:paraId="75B7AD75" w14:textId="77777777" w:rsidR="00B03953" w:rsidRPr="00821E74" w:rsidRDefault="00B03953" w:rsidP="00F221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b/>
          <w:sz w:val="24"/>
          <w:szCs w:val="24"/>
          <w:lang w:eastAsia="ru-RU"/>
        </w:rPr>
        <w:t>(ТОВ «НЦ «Основа»)</w:t>
      </w:r>
    </w:p>
    <w:p w14:paraId="2286653B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E64880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sz w:val="24"/>
          <w:szCs w:val="24"/>
          <w:lang w:eastAsia="ru-RU"/>
        </w:rPr>
        <w:t>БУХГАЛТЕРІЯ</w:t>
      </w:r>
    </w:p>
    <w:p w14:paraId="55781597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AE11972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НОМЕНКЛАТУРА СПРАВ</w:t>
      </w:r>
    </w:p>
    <w:p w14:paraId="289A1138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934CEA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sz w:val="24"/>
          <w:szCs w:val="24"/>
          <w:u w:val="single"/>
          <w:lang w:eastAsia="ru-RU"/>
        </w:rPr>
        <w:t>01 січня 2026 р.</w:t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821E74">
        <w:rPr>
          <w:rFonts w:ascii="Arial" w:eastAsia="Times New Roman" w:hAnsi="Arial" w:cs="Arial"/>
          <w:sz w:val="24"/>
          <w:szCs w:val="24"/>
          <w:u w:val="single"/>
          <w:lang w:eastAsia="ru-RU"/>
        </w:rPr>
        <w:t>1</w:t>
      </w:r>
    </w:p>
    <w:p w14:paraId="62FA6FFE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A74BF3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821E74">
        <w:rPr>
          <w:rFonts w:ascii="Arial" w:eastAsia="Times New Roman" w:hAnsi="Arial" w:cs="Arial"/>
          <w:sz w:val="24"/>
          <w:szCs w:val="24"/>
          <w:u w:val="single"/>
          <w:lang w:eastAsia="ru-RU"/>
        </w:rPr>
        <w:t>2026</w:t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 xml:space="preserve"> рік</w:t>
      </w:r>
    </w:p>
    <w:p w14:paraId="79197999" w14:textId="77777777" w:rsidR="00B03953" w:rsidRPr="00821E74" w:rsidRDefault="00B03953" w:rsidP="00B039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b/>
          <w:sz w:val="24"/>
          <w:szCs w:val="24"/>
          <w:lang w:eastAsia="ru-RU"/>
        </w:rPr>
        <w:t>БУХГАЛТЕРІЯ ― 05</w:t>
      </w:r>
    </w:p>
    <w:p w14:paraId="615AD7FE" w14:textId="77777777" w:rsidR="00B03953" w:rsidRPr="00821E74" w:rsidRDefault="00B03953" w:rsidP="00B0395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273" w:type="dxa"/>
        <w:tblInd w:w="70" w:type="dxa"/>
        <w:tblBorders>
          <w:top w:val="single" w:sz="6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134"/>
        <w:gridCol w:w="1417"/>
        <w:gridCol w:w="2193"/>
      </w:tblGrid>
      <w:tr w:rsidR="00B03953" w:rsidRPr="00821E74" w14:paraId="4AB24910" w14:textId="77777777" w:rsidTr="007C5773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51D1D63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Індекс справи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8FD514D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Заголовок справи</w:t>
            </w:r>
          </w:p>
          <w:p w14:paraId="2924FE5F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(тому, частини)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3F3EAF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Кількість справ (томів, частин)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546D95" w14:textId="29C1FDA8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</w:t>
            </w:r>
            <w:r w:rsid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зберігання справи (то</w:t>
            </w:r>
            <w:r w:rsid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му, час</w:t>
            </w:r>
            <w:bookmarkStart w:id="0" w:name="_GoBack"/>
            <w:bookmarkEnd w:id="0"/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тини) і номери статей за переліком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05FCB4D7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Примітки</w:t>
            </w:r>
          </w:p>
        </w:tc>
      </w:tr>
    </w:tbl>
    <w:p w14:paraId="34A9C40E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73" w:type="dxa"/>
        <w:tblInd w:w="70" w:type="dxa"/>
        <w:tblBorders>
          <w:top w:val="single" w:sz="6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678"/>
        <w:gridCol w:w="1134"/>
        <w:gridCol w:w="1417"/>
        <w:gridCol w:w="2193"/>
      </w:tblGrid>
      <w:tr w:rsidR="00B03953" w:rsidRPr="00821E74" w14:paraId="29983B86" w14:textId="77777777" w:rsidTr="007C5773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FD30D5F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EB4EFDF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630950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6930F5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687FA41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B03953" w:rsidRPr="00821E74" w14:paraId="11F775E5" w14:textId="77777777" w:rsidTr="007C5773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304817" w14:textId="77777777" w:rsidR="00B03953" w:rsidRPr="00821E74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05-01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74A6DF9" w14:textId="77777777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Нормативно-правові акти і нормативні документи з бухгалтерського обліку та фінансової звітності (копії)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9DE92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8C5D35" w14:textId="77777777" w:rsidR="00B03953" w:rsidRPr="00821E74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Доки не мине потреба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10E08FC0" w14:textId="77777777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B03953" w:rsidRPr="00821E74" w14:paraId="6C828DD5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E0F" w14:textId="77777777" w:rsidR="00B03953" w:rsidRPr="00821E74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  <w:r w:rsidRPr="00821E7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-02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450" w14:textId="72F5615A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Положення про бухгалтерію та </w:t>
            </w:r>
            <w:r w:rsid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посадові інструкції працівни</w:t>
            </w: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ків бухгалтерії</w:t>
            </w:r>
            <w:r w:rsidRPr="00821E7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2E5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6A6" w14:textId="77777777" w:rsidR="00B03953" w:rsidRPr="00821E74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заміни</w:t>
            </w: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новими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975A1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3953" w:rsidRPr="00821E74" w14:paraId="0068EA91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1764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50A2" w14:textId="77777777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Накази директора навчального центру з кадрових та адміністративно-господарських питань (копії)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9FB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0DE" w14:textId="77777777" w:rsidR="00B03953" w:rsidRPr="00821E74" w:rsidRDefault="00B03953" w:rsidP="007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Доки не мине потреба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E58" w14:textId="77777777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B03953" w:rsidRPr="00821E74" w14:paraId="3192135D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2EC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50E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Штатний розпис та зміни до нього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2D6" w14:textId="77777777" w:rsidR="00B03953" w:rsidRPr="00821E74" w:rsidRDefault="00B03953" w:rsidP="007C5773">
            <w:pPr>
              <w:pStyle w:val="210"/>
              <w:shd w:val="clear" w:color="auto" w:fill="auto"/>
              <w:spacing w:before="60" w:after="6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632F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</w:rPr>
            </w:pPr>
            <w:r w:rsidRPr="00821E74">
              <w:rPr>
                <w:rFonts w:ascii="Arial" w:hAnsi="Arial" w:cs="Arial"/>
                <w:lang w:val="uk-UA"/>
              </w:rPr>
              <w:t>75 р.</w:t>
            </w:r>
            <w:r w:rsidRPr="00821E74">
              <w:rPr>
                <w:rFonts w:ascii="Arial" w:hAnsi="Arial" w:cs="Arial"/>
                <w:lang w:val="uk-UA"/>
              </w:rPr>
              <w:br/>
              <w:t>ст. 37-а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EDAF0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B03953" w:rsidRPr="00821E74" w14:paraId="0B24F3A8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905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4488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Кошториси навчального центру на 2026 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EF2" w14:textId="77777777" w:rsidR="00B03953" w:rsidRPr="00821E74" w:rsidRDefault="00B03953" w:rsidP="007C5773">
            <w:pPr>
              <w:pStyle w:val="210"/>
              <w:shd w:val="clear" w:color="auto" w:fill="auto"/>
              <w:spacing w:before="60" w:after="6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EDB" w14:textId="77777777" w:rsidR="00B03953" w:rsidRPr="00821E74" w:rsidRDefault="00B03953" w:rsidP="007C5773">
            <w:pPr>
              <w:pStyle w:val="210"/>
              <w:shd w:val="clear" w:color="auto" w:fill="auto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E74">
              <w:rPr>
                <w:rFonts w:ascii="Arial" w:hAnsi="Arial" w:cs="Arial"/>
                <w:color w:val="000000"/>
                <w:sz w:val="24"/>
                <w:szCs w:val="24"/>
              </w:rPr>
              <w:t>10 р.</w:t>
            </w:r>
          </w:p>
          <w:p w14:paraId="7898E017" w14:textId="77777777" w:rsidR="00B03953" w:rsidRPr="00821E74" w:rsidRDefault="00B03953" w:rsidP="007C5773">
            <w:pPr>
              <w:pStyle w:val="210"/>
              <w:shd w:val="clear" w:color="auto" w:fill="auto"/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E74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ст. 193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9BC99" w14:textId="77777777" w:rsidR="00B03953" w:rsidRPr="00821E74" w:rsidRDefault="00B03953" w:rsidP="007C5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2EF76C74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EBE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707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Річні статистичні звіти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6BD" w14:textId="77777777" w:rsidR="00B03953" w:rsidRPr="00821E74" w:rsidRDefault="00B03953" w:rsidP="007C57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96A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  <w:lang w:val="uk-UA"/>
              </w:rPr>
            </w:pPr>
            <w:r w:rsidRPr="00821E74">
              <w:rPr>
                <w:rFonts w:ascii="Arial" w:hAnsi="Arial" w:cs="Arial"/>
                <w:lang w:val="uk-UA"/>
              </w:rPr>
              <w:t>До ліквідації навчального центру</w:t>
            </w:r>
            <w:r w:rsidRPr="00821E74">
              <w:rPr>
                <w:rFonts w:ascii="Arial" w:hAnsi="Arial" w:cs="Arial"/>
                <w:lang w:val="uk-UA"/>
              </w:rPr>
              <w:br/>
              <w:t>ст. 302-б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B6FA9" w14:textId="77777777" w:rsidR="00B03953" w:rsidRPr="00821E74" w:rsidRDefault="00B03953" w:rsidP="007C5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5BF5257A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719C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4DA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Квартальні статистичні звіти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73E" w14:textId="77777777" w:rsidR="00B03953" w:rsidRPr="00821E74" w:rsidRDefault="00B03953" w:rsidP="007C57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A44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  <w:lang w:val="uk-UA"/>
              </w:rPr>
            </w:pPr>
            <w:r w:rsidRPr="00821E74">
              <w:rPr>
                <w:rFonts w:ascii="Arial" w:hAnsi="Arial" w:cs="Arial"/>
                <w:lang w:val="uk-UA"/>
              </w:rPr>
              <w:t>3 р.</w:t>
            </w:r>
            <w:r w:rsidRPr="00821E74">
              <w:rPr>
                <w:rFonts w:ascii="Arial" w:hAnsi="Arial" w:cs="Arial"/>
                <w:lang w:val="uk-UA"/>
              </w:rPr>
              <w:br/>
              <w:t>ст. 302-г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CBD40" w14:textId="77777777" w:rsidR="00B03953" w:rsidRPr="00821E74" w:rsidRDefault="00B03953" w:rsidP="007C57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423A5BF8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A25E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350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Місячні статистичні звіти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4DF" w14:textId="77777777" w:rsidR="00B03953" w:rsidRPr="00821E74" w:rsidRDefault="00B03953" w:rsidP="007C57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BC90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  <w:lang w:val="uk-UA"/>
              </w:rPr>
            </w:pPr>
            <w:r w:rsidRPr="00821E74">
              <w:rPr>
                <w:rFonts w:ascii="Arial" w:hAnsi="Arial" w:cs="Arial"/>
                <w:lang w:val="uk-UA"/>
              </w:rPr>
              <w:t>1 р.</w:t>
            </w:r>
            <w:r w:rsidRPr="00821E74">
              <w:rPr>
                <w:rFonts w:ascii="Arial" w:hAnsi="Arial" w:cs="Arial"/>
                <w:lang w:val="uk-UA"/>
              </w:rPr>
              <w:br/>
              <w:t xml:space="preserve">ст. 302-ґ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7BA14" w14:textId="77777777" w:rsidR="00B03953" w:rsidRPr="00821E74" w:rsidRDefault="00B03953" w:rsidP="007C57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2534CEAF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169A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0628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Річний фінансовий звіт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22B" w14:textId="77777777" w:rsidR="00B03953" w:rsidRPr="00821E74" w:rsidRDefault="00B03953" w:rsidP="007C57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C33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  <w:lang w:val="uk-UA"/>
              </w:rPr>
            </w:pPr>
            <w:r w:rsidRPr="00821E74">
              <w:rPr>
                <w:rFonts w:ascii="Arial" w:hAnsi="Arial" w:cs="Arial"/>
                <w:lang w:val="uk-UA"/>
              </w:rPr>
              <w:t>До ліквідації навчального центру</w:t>
            </w:r>
            <w:r w:rsidRPr="00821E74">
              <w:rPr>
                <w:rFonts w:ascii="Arial" w:hAnsi="Arial" w:cs="Arial"/>
                <w:lang w:val="uk-UA"/>
              </w:rPr>
              <w:br/>
              <w:t>ст. 311-б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225E7" w14:textId="77777777" w:rsidR="00B03953" w:rsidRPr="00821E74" w:rsidRDefault="00B03953" w:rsidP="007C57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02FC7DB9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D927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05-10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953F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Квартальні фінансові звіти навчального центру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0E6" w14:textId="77777777" w:rsidR="00B03953" w:rsidRPr="00821E74" w:rsidRDefault="00B03953" w:rsidP="007C57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E8A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  <w:lang w:val="uk-UA"/>
              </w:rPr>
            </w:pPr>
            <w:r w:rsidRPr="00821E74">
              <w:rPr>
                <w:rFonts w:ascii="Arial" w:hAnsi="Arial" w:cs="Arial"/>
                <w:lang w:val="uk-UA"/>
              </w:rPr>
              <w:t>3 р.</w:t>
            </w:r>
            <w:r w:rsidRPr="00821E74">
              <w:rPr>
                <w:rFonts w:ascii="Arial" w:hAnsi="Arial" w:cs="Arial"/>
                <w:lang w:val="uk-UA"/>
              </w:rPr>
              <w:br/>
              <w:t>ст. 311-в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55F0F" w14:textId="77777777" w:rsidR="00B03953" w:rsidRPr="00821E74" w:rsidRDefault="00B03953" w:rsidP="007C57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19A4C499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952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195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Місячна звітність про сплату єдиного соціального внеску (ЄСВ), податку на доходи фізичних осіб (ПДФО) та військового збору (ВЗ)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D52" w14:textId="77777777" w:rsidR="00B03953" w:rsidRPr="00821E74" w:rsidRDefault="00B03953" w:rsidP="007C5773">
            <w:pPr>
              <w:pStyle w:val="210"/>
              <w:shd w:val="clear" w:color="auto" w:fill="auto"/>
              <w:spacing w:before="60" w:after="6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6EF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  <w:lang w:val="uk-UA"/>
              </w:rPr>
            </w:pPr>
            <w:r w:rsidRPr="00821E74">
              <w:rPr>
                <w:rFonts w:ascii="Arial" w:hAnsi="Arial" w:cs="Arial"/>
              </w:rPr>
              <w:t>75 р.</w:t>
            </w:r>
            <w:r w:rsidRPr="00821E74">
              <w:rPr>
                <w:rFonts w:ascii="Arial" w:hAnsi="Arial" w:cs="Arial"/>
              </w:rPr>
              <w:br/>
            </w:r>
            <w:proofErr w:type="spellStart"/>
            <w:r w:rsidRPr="00821E74">
              <w:rPr>
                <w:rFonts w:ascii="Arial" w:hAnsi="Arial" w:cs="Arial"/>
              </w:rPr>
              <w:t>ст</w:t>
            </w:r>
            <w:proofErr w:type="spellEnd"/>
            <w:r w:rsidRPr="00821E74">
              <w:rPr>
                <w:rFonts w:ascii="Arial" w:hAnsi="Arial" w:cs="Arial"/>
              </w:rPr>
              <w:t>. 687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437FE" w14:textId="77777777" w:rsidR="00B03953" w:rsidRPr="00821E74" w:rsidRDefault="00B03953" w:rsidP="007C57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21F8350C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355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05-12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43B65518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Розрахунково-платіжні відомості (особові рахунки) працівників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52A" w14:textId="77777777" w:rsidR="00B03953" w:rsidRPr="00821E74" w:rsidRDefault="00B03953" w:rsidP="007C57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1594E83B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  <w:lang w:val="uk-UA"/>
              </w:rPr>
            </w:pPr>
            <w:r w:rsidRPr="00821E74">
              <w:rPr>
                <w:rFonts w:ascii="Arial" w:hAnsi="Arial" w:cs="Arial"/>
                <w:lang w:val="uk-UA"/>
              </w:rPr>
              <w:t>75 р.</w:t>
            </w:r>
            <w:r w:rsidRPr="00821E74">
              <w:rPr>
                <w:rFonts w:ascii="Arial" w:hAnsi="Arial" w:cs="Arial"/>
                <w:lang w:val="uk-UA"/>
              </w:rPr>
              <w:br/>
              <w:t>ст. 317-а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DEF76" w14:textId="77777777" w:rsidR="00B03953" w:rsidRPr="00821E74" w:rsidRDefault="00B03953" w:rsidP="007C57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12CF9D18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328" w14:textId="77777777" w:rsidR="00B03953" w:rsidRPr="00821E74" w:rsidRDefault="00B03953" w:rsidP="007C577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05-13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0CA6BF69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Відомості на виплату грошей працівникам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581" w14:textId="77777777" w:rsidR="00B03953" w:rsidRPr="00821E74" w:rsidRDefault="00B03953" w:rsidP="007C5773">
            <w:pPr>
              <w:pStyle w:val="14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35EAE611" w14:textId="77777777" w:rsidR="00B03953" w:rsidRPr="00821E74" w:rsidRDefault="00B03953" w:rsidP="007C5773">
            <w:pPr>
              <w:pStyle w:val="14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821E74">
              <w:rPr>
                <w:rFonts w:ascii="Arial" w:hAnsi="Arial" w:cs="Arial"/>
                <w:szCs w:val="24"/>
              </w:rPr>
              <w:t>5 р.</w:t>
            </w:r>
            <w:r w:rsidRPr="00821E74">
              <w:rPr>
                <w:rFonts w:ascii="Arial" w:hAnsi="Arial" w:cs="Arial"/>
                <w:szCs w:val="24"/>
                <w:vertAlign w:val="superscript"/>
              </w:rPr>
              <w:t>1</w:t>
            </w:r>
            <w:r w:rsidRPr="00821E74">
              <w:rPr>
                <w:rFonts w:ascii="Arial" w:hAnsi="Arial" w:cs="Arial"/>
                <w:szCs w:val="24"/>
                <w:vertAlign w:val="superscript"/>
              </w:rPr>
              <w:br/>
            </w:r>
            <w:r w:rsidRPr="00821E74">
              <w:rPr>
                <w:rFonts w:ascii="Arial" w:hAnsi="Arial" w:cs="Arial"/>
                <w:szCs w:val="24"/>
              </w:rPr>
              <w:t>ст. 318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8EBED" w14:textId="129659F6" w:rsidR="00B03953" w:rsidRPr="00821E74" w:rsidRDefault="00B03953" w:rsidP="00821E74">
            <w:pPr>
              <w:pStyle w:val="14"/>
              <w:spacing w:before="60" w:after="60"/>
              <w:rPr>
                <w:rFonts w:ascii="Arial" w:hAnsi="Arial" w:cs="Arial"/>
                <w:szCs w:val="24"/>
              </w:rPr>
            </w:pPr>
            <w:r w:rsidRPr="00821E74">
              <w:rPr>
                <w:rFonts w:ascii="Arial" w:hAnsi="Arial" w:cs="Arial"/>
                <w:szCs w:val="24"/>
                <w:vertAlign w:val="superscript"/>
              </w:rPr>
              <w:t>1</w:t>
            </w:r>
            <w:r w:rsidRPr="00821E74">
              <w:rPr>
                <w:rFonts w:ascii="Arial" w:hAnsi="Arial" w:cs="Arial"/>
                <w:szCs w:val="24"/>
              </w:rPr>
              <w:t> За відсутно</w:t>
            </w:r>
            <w:r w:rsidR="00821E74">
              <w:rPr>
                <w:rFonts w:ascii="Arial" w:hAnsi="Arial" w:cs="Arial"/>
                <w:szCs w:val="24"/>
              </w:rPr>
              <w:t>сті роз</w:t>
            </w:r>
            <w:r w:rsidRPr="00821E74">
              <w:rPr>
                <w:rFonts w:ascii="Arial" w:hAnsi="Arial" w:cs="Arial"/>
                <w:szCs w:val="24"/>
              </w:rPr>
              <w:t>рахунково-платіжних відомостей – 75 р.</w:t>
            </w:r>
          </w:p>
        </w:tc>
      </w:tr>
      <w:tr w:rsidR="00B03953" w:rsidRPr="00821E74" w14:paraId="5EE239C7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BD3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05-14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0D9749C8" w14:textId="225361DE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Первинні документи і додатки до них, що фіксують факт виконання господарських операцій і стали підставою для записів у регістрах бу</w:t>
            </w:r>
            <w:r w:rsidR="00821E74">
              <w:rPr>
                <w:rFonts w:ascii="Arial" w:hAnsi="Arial" w:cs="Arial"/>
                <w:bCs/>
                <w:lang w:val="uk-UA"/>
              </w:rPr>
              <w:t>хгалтерського обліку та податко</w:t>
            </w:r>
            <w:r w:rsidRPr="00821E74">
              <w:rPr>
                <w:rFonts w:ascii="Arial" w:hAnsi="Arial" w:cs="Arial"/>
                <w:bCs/>
                <w:lang w:val="uk-UA"/>
              </w:rPr>
              <w:t>вих документах (касові, банківські документи, виписки банків, рахунки-фактури, корінці кви</w:t>
            </w:r>
            <w:r w:rsidR="00821E74">
              <w:rPr>
                <w:rFonts w:ascii="Arial" w:hAnsi="Arial" w:cs="Arial"/>
                <w:bCs/>
                <w:lang w:val="uk-UA"/>
              </w:rPr>
              <w:t>танцій, акти про приймання, здавання і списання майна й матеріалів, кви</w:t>
            </w:r>
            <w:r w:rsidRPr="00821E74">
              <w:rPr>
                <w:rFonts w:ascii="Arial" w:hAnsi="Arial" w:cs="Arial"/>
                <w:bCs/>
                <w:lang w:val="uk-UA"/>
              </w:rPr>
              <w:t>танції і накладні з обліку товарно-матеріальних цінностей, авансові звіти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461C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25EC92D0" w14:textId="77777777" w:rsidR="00B03953" w:rsidRPr="00821E74" w:rsidRDefault="00B03953" w:rsidP="007C577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E74">
              <w:rPr>
                <w:rFonts w:ascii="Arial" w:hAnsi="Arial" w:cs="Arial"/>
                <w:sz w:val="24"/>
                <w:szCs w:val="24"/>
              </w:rPr>
              <w:t>5 р.</w:t>
            </w:r>
            <w:r w:rsidRPr="00821E74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821E74">
              <w:rPr>
                <w:rFonts w:ascii="Arial" w:hAnsi="Arial" w:cs="Arial"/>
                <w:sz w:val="24"/>
                <w:szCs w:val="24"/>
                <w:vertAlign w:val="superscript"/>
              </w:rPr>
              <w:br/>
            </w:r>
            <w:r w:rsidRPr="00821E74">
              <w:rPr>
                <w:rFonts w:ascii="Arial" w:hAnsi="Arial" w:cs="Arial"/>
                <w:sz w:val="24"/>
                <w:szCs w:val="24"/>
              </w:rPr>
              <w:t>ст. 336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90C1A" w14:textId="70BA8BE7" w:rsidR="00B03953" w:rsidRPr="00821E74" w:rsidRDefault="00B03953" w:rsidP="00821E74">
            <w:pPr>
              <w:widowControl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21E74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821E74">
              <w:rPr>
                <w:rFonts w:ascii="Arial" w:hAnsi="Arial" w:cs="Arial"/>
                <w:sz w:val="24"/>
                <w:szCs w:val="24"/>
              </w:rPr>
              <w:t xml:space="preserve"> Документи, пов’язані з предметом </w:t>
            </w:r>
            <w:r w:rsidR="00821E74">
              <w:rPr>
                <w:rFonts w:ascii="Arial" w:hAnsi="Arial" w:cs="Arial"/>
                <w:sz w:val="24"/>
                <w:szCs w:val="24"/>
              </w:rPr>
              <w:t>податкової перевірки органу держав</w:t>
            </w:r>
            <w:r w:rsidRPr="00821E74">
              <w:rPr>
                <w:rFonts w:ascii="Arial" w:hAnsi="Arial" w:cs="Arial"/>
                <w:sz w:val="24"/>
                <w:szCs w:val="24"/>
              </w:rPr>
              <w:t xml:space="preserve">ного фінансового контролю та/або адміністративним чи судовим оскарженням прийнятого за її результатами рішення, зберігаються не менше встановленого </w:t>
            </w:r>
            <w:r w:rsidR="00821E74">
              <w:rPr>
                <w:rFonts w:ascii="Arial" w:hAnsi="Arial" w:cs="Arial"/>
                <w:sz w:val="24"/>
                <w:szCs w:val="24"/>
              </w:rPr>
              <w:t>мінімаль</w:t>
            </w:r>
            <w:r w:rsidRPr="00821E74">
              <w:rPr>
                <w:rFonts w:ascii="Arial" w:hAnsi="Arial" w:cs="Arial"/>
                <w:sz w:val="24"/>
                <w:szCs w:val="24"/>
              </w:rPr>
              <w:t>ного строку та про</w:t>
            </w:r>
            <w:r w:rsidRPr="00821E74">
              <w:rPr>
                <w:rFonts w:ascii="Arial" w:hAnsi="Arial" w:cs="Arial"/>
                <w:sz w:val="24"/>
                <w:szCs w:val="24"/>
              </w:rPr>
              <w:softHyphen/>
              <w:t>тягом одног</w:t>
            </w:r>
            <w:r w:rsidR="00821E74">
              <w:rPr>
                <w:rFonts w:ascii="Arial" w:hAnsi="Arial" w:cs="Arial"/>
                <w:sz w:val="24"/>
                <w:szCs w:val="24"/>
              </w:rPr>
              <w:t>о року після закінчення передбаче</w:t>
            </w:r>
            <w:r w:rsidRPr="00821E74">
              <w:rPr>
                <w:rFonts w:ascii="Arial" w:hAnsi="Arial" w:cs="Arial"/>
                <w:sz w:val="24"/>
                <w:szCs w:val="24"/>
              </w:rPr>
              <w:t>ного закон</w:t>
            </w:r>
            <w:r w:rsidR="00821E74">
              <w:rPr>
                <w:rFonts w:ascii="Arial" w:hAnsi="Arial" w:cs="Arial"/>
                <w:sz w:val="24"/>
                <w:szCs w:val="24"/>
              </w:rPr>
              <w:t>ом строку для судового оскаржен</w:t>
            </w:r>
            <w:r w:rsidRPr="00821E74">
              <w:rPr>
                <w:rFonts w:ascii="Arial" w:hAnsi="Arial" w:cs="Arial"/>
                <w:sz w:val="24"/>
                <w:szCs w:val="24"/>
              </w:rPr>
              <w:t>ня такого рішення, а у разі такого оскарження – протягом одного року з дня набрання законної сили судовим рішен</w:t>
            </w:r>
            <w:r w:rsidRPr="00821E74">
              <w:rPr>
                <w:rFonts w:ascii="Arial" w:hAnsi="Arial" w:cs="Arial"/>
                <w:sz w:val="24"/>
                <w:szCs w:val="24"/>
              </w:rPr>
              <w:softHyphen/>
              <w:t xml:space="preserve">ням, яким </w:t>
            </w:r>
            <w:r w:rsidRPr="00821E74">
              <w:rPr>
                <w:rFonts w:ascii="Arial" w:hAnsi="Arial" w:cs="Arial"/>
                <w:sz w:val="24"/>
                <w:szCs w:val="24"/>
              </w:rPr>
              <w:lastRenderedPageBreak/>
              <w:t>закінчено розгл</w:t>
            </w:r>
            <w:r w:rsidR="00821E74">
              <w:rPr>
                <w:rFonts w:ascii="Arial" w:hAnsi="Arial" w:cs="Arial"/>
                <w:sz w:val="24"/>
                <w:szCs w:val="24"/>
              </w:rPr>
              <w:t>яд справи, а у разі оскар</w:t>
            </w:r>
            <w:r w:rsidRPr="00821E74">
              <w:rPr>
                <w:rFonts w:ascii="Arial" w:hAnsi="Arial" w:cs="Arial"/>
                <w:sz w:val="24"/>
                <w:szCs w:val="24"/>
              </w:rPr>
              <w:t xml:space="preserve">ження такого судового рішення – протягом трьох місяців з дня набрання законної сили остаточним судовим рішенням, подальше оскарження якого неможливе. Документи, щодо яких </w:t>
            </w:r>
            <w:r w:rsidR="00821E74">
              <w:rPr>
                <w:rFonts w:ascii="Arial" w:hAnsi="Arial" w:cs="Arial"/>
                <w:sz w:val="24"/>
                <w:szCs w:val="24"/>
              </w:rPr>
              <w:t>минув</w:t>
            </w:r>
            <w:r w:rsidRPr="00821E74">
              <w:rPr>
                <w:rFonts w:ascii="Arial" w:hAnsi="Arial" w:cs="Arial"/>
                <w:sz w:val="24"/>
                <w:szCs w:val="24"/>
              </w:rPr>
              <w:t xml:space="preserve"> мінімаль</w:t>
            </w:r>
            <w:r w:rsidR="00821E74">
              <w:rPr>
                <w:rFonts w:ascii="Arial" w:hAnsi="Arial" w:cs="Arial"/>
                <w:sz w:val="24"/>
                <w:szCs w:val="24"/>
              </w:rPr>
              <w:t>ний строк зберігання, що стосую</w:t>
            </w:r>
            <w:r w:rsidRPr="00821E74">
              <w:rPr>
                <w:rFonts w:ascii="Arial" w:hAnsi="Arial" w:cs="Arial"/>
                <w:sz w:val="24"/>
                <w:szCs w:val="24"/>
              </w:rPr>
              <w:t>ться звітних періодів, за які більше не може проводитись податкова перевірка, підлягають знищенню (крім тих, що можуть бути використані для документаль</w:t>
            </w:r>
            <w:r w:rsidRPr="00821E74">
              <w:rPr>
                <w:rFonts w:ascii="Arial" w:hAnsi="Arial" w:cs="Arial"/>
                <w:sz w:val="24"/>
                <w:szCs w:val="24"/>
              </w:rPr>
              <w:softHyphen/>
              <w:t>ного забезпечен</w:t>
            </w:r>
            <w:r w:rsidR="00821E74">
              <w:rPr>
                <w:rFonts w:ascii="Arial" w:hAnsi="Arial" w:cs="Arial"/>
                <w:sz w:val="24"/>
                <w:szCs w:val="24"/>
              </w:rPr>
              <w:t>ня процесу відшкодування матеріальної шкоди, заподія</w:t>
            </w:r>
            <w:r w:rsidRPr="00821E74">
              <w:rPr>
                <w:rFonts w:ascii="Arial" w:hAnsi="Arial" w:cs="Arial"/>
                <w:sz w:val="24"/>
                <w:szCs w:val="24"/>
              </w:rPr>
              <w:t>ної внаслідок збройної агресії російської фе</w:t>
            </w:r>
            <w:r w:rsidR="00821E74">
              <w:rPr>
                <w:rFonts w:ascii="Arial" w:hAnsi="Arial" w:cs="Arial"/>
                <w:sz w:val="24"/>
                <w:szCs w:val="24"/>
              </w:rPr>
              <w:t>дерації та тимчасової окупації)</w:t>
            </w:r>
          </w:p>
        </w:tc>
      </w:tr>
      <w:tr w:rsidR="00B03953" w:rsidRPr="00821E74" w14:paraId="3DCA070D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CB5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05-15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5DEFF76E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Договори, угоди (господарські, опера</w:t>
            </w:r>
            <w:r w:rsidRPr="00821E74">
              <w:rPr>
                <w:rFonts w:ascii="Arial" w:hAnsi="Arial" w:cs="Arial"/>
                <w:bCs/>
                <w:lang w:val="uk-UA"/>
              </w:rPr>
              <w:softHyphen/>
              <w:t>ційні тощо), зокрема про обслуговування техніки навчального центру, закупівлю офісного обладнання, канцтоварів, пального; надання послуг поштових пересилань,</w:t>
            </w:r>
            <w:r w:rsidRPr="00821E74">
              <w:rPr>
                <w:rFonts w:ascii="Arial" w:hAnsi="Arial" w:cs="Arial"/>
                <w:lang w:val="uk-UA"/>
              </w:rPr>
              <w:t xml:space="preserve"> мобільного зв’язку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2255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05D5FBE3" w14:textId="77777777" w:rsidR="00B03953" w:rsidRPr="00821E74" w:rsidRDefault="00B03953" w:rsidP="007C577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E74">
              <w:rPr>
                <w:rFonts w:ascii="Arial" w:hAnsi="Arial" w:cs="Arial"/>
                <w:color w:val="231F20"/>
                <w:w w:val="105"/>
                <w:position w:val="-6"/>
                <w:sz w:val="24"/>
                <w:szCs w:val="24"/>
              </w:rPr>
              <w:t>5</w:t>
            </w:r>
            <w:r w:rsidRPr="00821E74">
              <w:rPr>
                <w:rFonts w:ascii="Arial" w:hAnsi="Arial" w:cs="Arial"/>
                <w:color w:val="231F20"/>
                <w:spacing w:val="-10"/>
                <w:w w:val="105"/>
                <w:position w:val="-6"/>
                <w:sz w:val="24"/>
                <w:szCs w:val="24"/>
              </w:rPr>
              <w:t xml:space="preserve"> </w:t>
            </w:r>
            <w:r w:rsidRPr="00821E74">
              <w:rPr>
                <w:rFonts w:ascii="Arial" w:hAnsi="Arial" w:cs="Arial"/>
                <w:color w:val="231F20"/>
                <w:w w:val="105"/>
                <w:position w:val="-6"/>
                <w:sz w:val="24"/>
                <w:szCs w:val="24"/>
              </w:rPr>
              <w:t>р.</w:t>
            </w:r>
            <w:r w:rsidRPr="00821E74">
              <w:rPr>
                <w:rFonts w:ascii="Arial" w:hAnsi="Arial" w:cs="Arial"/>
                <w:color w:val="231F20"/>
                <w:w w:val="105"/>
                <w:sz w:val="24"/>
                <w:szCs w:val="24"/>
                <w:vertAlign w:val="superscript"/>
              </w:rPr>
              <w:t>1, 2</w:t>
            </w:r>
            <w:r w:rsidRPr="00821E74">
              <w:rPr>
                <w:rFonts w:ascii="Arial" w:hAnsi="Arial" w:cs="Arial"/>
                <w:sz w:val="24"/>
                <w:szCs w:val="24"/>
              </w:rPr>
              <w:br/>
            </w:r>
            <w:r w:rsidRPr="00821E74">
              <w:rPr>
                <w:rFonts w:ascii="Arial" w:hAnsi="Arial" w:cs="Arial"/>
                <w:color w:val="231F20"/>
                <w:sz w:val="24"/>
                <w:szCs w:val="24"/>
              </w:rPr>
              <w:t>с</w:t>
            </w:r>
            <w:r w:rsidRPr="00821E74">
              <w:rPr>
                <w:rFonts w:ascii="Arial" w:hAnsi="Arial" w:cs="Arial"/>
                <w:color w:val="231F20"/>
                <w:spacing w:val="-16"/>
                <w:sz w:val="24"/>
                <w:szCs w:val="24"/>
              </w:rPr>
              <w:t>т</w:t>
            </w:r>
            <w:r w:rsidRPr="00821E74">
              <w:rPr>
                <w:rFonts w:ascii="Arial" w:hAnsi="Arial" w:cs="Arial"/>
                <w:color w:val="231F20"/>
                <w:sz w:val="24"/>
                <w:szCs w:val="24"/>
              </w:rPr>
              <w:t xml:space="preserve">. </w:t>
            </w:r>
            <w:r w:rsidRPr="00821E74">
              <w:rPr>
                <w:rFonts w:ascii="Arial" w:hAnsi="Arial" w:cs="Arial"/>
                <w:sz w:val="24"/>
                <w:szCs w:val="24"/>
              </w:rPr>
              <w:t xml:space="preserve">330, </w:t>
            </w:r>
            <w:r w:rsidRPr="00821E74">
              <w:rPr>
                <w:rFonts w:ascii="Arial" w:hAnsi="Arial" w:cs="Arial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CE13E" w14:textId="2373548B" w:rsidR="00B03953" w:rsidRPr="00821E74" w:rsidRDefault="00B03953" w:rsidP="007C57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21E74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821E74">
              <w:rPr>
                <w:rFonts w:ascii="Arial" w:hAnsi="Arial" w:cs="Arial"/>
                <w:sz w:val="24"/>
                <w:szCs w:val="24"/>
              </w:rPr>
              <w:t> Після закінчення строку дії договору, угоди</w:t>
            </w:r>
            <w:r w:rsidR="00821E74">
              <w:rPr>
                <w:rFonts w:ascii="Arial" w:hAnsi="Arial" w:cs="Arial"/>
                <w:sz w:val="24"/>
                <w:szCs w:val="24"/>
              </w:rPr>
              <w:t>.</w:t>
            </w:r>
            <w:r w:rsidRPr="00821E74">
              <w:rPr>
                <w:rFonts w:ascii="Arial" w:hAnsi="Arial" w:cs="Arial"/>
                <w:sz w:val="24"/>
                <w:szCs w:val="24"/>
              </w:rPr>
              <w:br/>
            </w:r>
            <w:r w:rsidRPr="00821E74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821E74">
              <w:rPr>
                <w:rFonts w:ascii="Arial" w:hAnsi="Arial" w:cs="Arial"/>
                <w:sz w:val="24"/>
                <w:szCs w:val="24"/>
              </w:rPr>
              <w:t> Див. примітку до справи 05-14</w:t>
            </w:r>
          </w:p>
        </w:tc>
      </w:tr>
      <w:tr w:rsidR="00B03953" w:rsidRPr="00821E74" w14:paraId="3D81A1D1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5D8F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05-16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067AF6A4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Договори про надання освітніх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431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6A9181A2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5 р.</w:t>
            </w:r>
            <w:r w:rsidRPr="00821E74">
              <w:rPr>
                <w:rFonts w:ascii="Arial" w:hAnsi="Arial" w:cs="Arial"/>
                <w:bCs/>
                <w:vertAlign w:val="superscript"/>
              </w:rPr>
              <w:t>1</w:t>
            </w:r>
          </w:p>
          <w:p w14:paraId="6B2708C7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="Arial" w:hAnsi="Arial" w:cs="Arial"/>
              </w:rPr>
            </w:pPr>
            <w:r w:rsidRPr="00821E74">
              <w:rPr>
                <w:rFonts w:ascii="Arial" w:hAnsi="Arial" w:cs="Arial"/>
                <w:bCs/>
              </w:rPr>
              <w:t>ст. 543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8ADD5" w14:textId="616D64DF" w:rsidR="00B03953" w:rsidRPr="00821E74" w:rsidRDefault="00B03953" w:rsidP="00821E74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</w:rPr>
            </w:pPr>
            <w:r w:rsidRPr="00821E74">
              <w:rPr>
                <w:rFonts w:ascii="Arial" w:hAnsi="Arial" w:cs="Arial"/>
                <w:bCs/>
                <w:vertAlign w:val="superscript"/>
                <w:lang w:val="uk-UA"/>
              </w:rPr>
              <w:t>1 </w:t>
            </w:r>
            <w:r w:rsidR="00821E74">
              <w:rPr>
                <w:rFonts w:ascii="Arial" w:hAnsi="Arial" w:cs="Arial"/>
                <w:bCs/>
                <w:lang w:val="uk-UA"/>
              </w:rPr>
              <w:t>Після закінчення строку дії дого</w:t>
            </w:r>
            <w:r w:rsidRPr="00821E74">
              <w:rPr>
                <w:rFonts w:ascii="Arial" w:hAnsi="Arial" w:cs="Arial"/>
                <w:bCs/>
                <w:lang w:val="uk-UA"/>
              </w:rPr>
              <w:t>вору</w:t>
            </w:r>
          </w:p>
        </w:tc>
      </w:tr>
      <w:tr w:rsidR="00B03953" w:rsidRPr="00821E74" w14:paraId="6507E2FF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5CF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05-17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2364F999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Акти про виконаних робіт і надання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C6D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5EF76420" w14:textId="77777777" w:rsidR="00B03953" w:rsidRPr="00821E74" w:rsidRDefault="00B03953" w:rsidP="007C5773">
            <w:pPr>
              <w:pStyle w:val="TableParagraph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E74">
              <w:rPr>
                <w:rFonts w:ascii="Arial" w:hAnsi="Arial" w:cs="Arial"/>
                <w:color w:val="231F20"/>
                <w:sz w:val="24"/>
                <w:szCs w:val="24"/>
              </w:rPr>
              <w:t>5</w:t>
            </w:r>
            <w:r w:rsidRPr="00821E74">
              <w:rPr>
                <w:rFonts w:ascii="Arial" w:hAnsi="Arial" w:cs="Arial"/>
                <w:color w:val="231F20"/>
                <w:spacing w:val="3"/>
                <w:sz w:val="24"/>
                <w:szCs w:val="24"/>
              </w:rPr>
              <w:t xml:space="preserve"> </w:t>
            </w:r>
            <w:r w:rsidRPr="00821E74">
              <w:rPr>
                <w:rFonts w:ascii="Arial" w:hAnsi="Arial" w:cs="Arial"/>
                <w:color w:val="231F20"/>
                <w:sz w:val="24"/>
                <w:szCs w:val="24"/>
              </w:rPr>
              <w:t>р.</w:t>
            </w:r>
            <w:r w:rsidRPr="00821E74">
              <w:rPr>
                <w:rFonts w:ascii="Arial" w:hAnsi="Arial" w:cs="Arial"/>
                <w:color w:val="231F20"/>
                <w:sz w:val="24"/>
                <w:szCs w:val="24"/>
                <w:vertAlign w:val="superscript"/>
              </w:rPr>
              <w:t>1</w:t>
            </w:r>
            <w:r w:rsidRPr="00821E74">
              <w:rPr>
                <w:rFonts w:ascii="Arial" w:hAnsi="Arial" w:cs="Arial"/>
                <w:color w:val="231F20"/>
                <w:sz w:val="24"/>
                <w:szCs w:val="24"/>
                <w:vertAlign w:val="superscript"/>
              </w:rPr>
              <w:br/>
            </w:r>
            <w:r w:rsidRPr="00821E74">
              <w:rPr>
                <w:rFonts w:ascii="Arial" w:hAnsi="Arial" w:cs="Arial"/>
                <w:color w:val="231F20"/>
                <w:sz w:val="24"/>
                <w:szCs w:val="24"/>
              </w:rPr>
              <w:t>с</w:t>
            </w:r>
            <w:r w:rsidRPr="00821E74">
              <w:rPr>
                <w:rFonts w:ascii="Arial" w:hAnsi="Arial" w:cs="Arial"/>
                <w:color w:val="231F20"/>
                <w:spacing w:val="-16"/>
                <w:sz w:val="24"/>
                <w:szCs w:val="24"/>
              </w:rPr>
              <w:t>т</w:t>
            </w:r>
            <w:r w:rsidRPr="00821E74">
              <w:rPr>
                <w:rFonts w:ascii="Arial" w:hAnsi="Arial" w:cs="Arial"/>
                <w:color w:val="231F20"/>
                <w:sz w:val="24"/>
                <w:szCs w:val="24"/>
              </w:rPr>
              <w:t>. 334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91A6E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</w:rPr>
            </w:pPr>
            <w:r w:rsidRPr="00821E74">
              <w:rPr>
                <w:rFonts w:ascii="Arial" w:hAnsi="Arial" w:cs="Arial"/>
                <w:vertAlign w:val="superscript"/>
                <w:lang w:val="uk-UA"/>
              </w:rPr>
              <w:t>1</w:t>
            </w:r>
            <w:r w:rsidRPr="00821E74">
              <w:rPr>
                <w:rFonts w:ascii="Arial" w:hAnsi="Arial" w:cs="Arial"/>
                <w:lang w:val="uk-UA"/>
              </w:rPr>
              <w:t xml:space="preserve"> </w:t>
            </w:r>
            <w:r w:rsidRPr="00821E74">
              <w:rPr>
                <w:rFonts w:ascii="Arial" w:hAnsi="Arial" w:cs="Arial"/>
                <w:bCs/>
                <w:lang w:val="uk-UA"/>
              </w:rPr>
              <w:t>Див</w:t>
            </w:r>
            <w:r w:rsidRPr="00821E74">
              <w:rPr>
                <w:rFonts w:ascii="Arial" w:hAnsi="Arial" w:cs="Arial"/>
                <w:lang w:val="uk-UA" w:eastAsia="ru-RU"/>
              </w:rPr>
              <w:t xml:space="preserve">. примітку до справи </w:t>
            </w:r>
            <w:r w:rsidRPr="00821E74">
              <w:rPr>
                <w:rFonts w:ascii="Arial" w:hAnsi="Arial" w:cs="Arial"/>
              </w:rPr>
              <w:t>05-14</w:t>
            </w:r>
          </w:p>
        </w:tc>
      </w:tr>
      <w:tr w:rsidR="00B03953" w:rsidRPr="00821E74" w14:paraId="5D833CF6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632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05-18</w:t>
            </w:r>
          </w:p>
        </w:tc>
        <w:tc>
          <w:tcPr>
            <w:tcW w:w="467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583DEC24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Договори оренди приміщень, які винаймає навчальний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435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3B434B02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</w:rPr>
            </w:pPr>
            <w:r w:rsidRPr="00821E74">
              <w:rPr>
                <w:rStyle w:val="st42"/>
                <w:rFonts w:ascii="Arial" w:hAnsi="Arial" w:cs="Arial"/>
                <w:lang w:val="uk-UA"/>
              </w:rPr>
              <w:t>5 р.</w:t>
            </w:r>
            <w:r w:rsidRPr="00821E74">
              <w:rPr>
                <w:rStyle w:val="st30"/>
                <w:rFonts w:ascii="Arial" w:hAnsi="Arial" w:cs="Arial"/>
                <w:sz w:val="24"/>
                <w:szCs w:val="24"/>
                <w:lang w:val="uk-UA"/>
              </w:rPr>
              <w:t>1, 2</w:t>
            </w:r>
          </w:p>
          <w:p w14:paraId="1FA158D4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  <w:lang w:val="uk-UA"/>
              </w:rPr>
            </w:pPr>
            <w:r w:rsidRPr="00821E74">
              <w:rPr>
                <w:rFonts w:ascii="Arial" w:hAnsi="Arial" w:cs="Arial"/>
                <w:lang w:val="uk-UA"/>
              </w:rPr>
              <w:t>ст. 1056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99356" w14:textId="1A7F175D" w:rsidR="00B03953" w:rsidRPr="00821E74" w:rsidRDefault="00B03953" w:rsidP="007C5773">
            <w:pPr>
              <w:pStyle w:val="11"/>
              <w:rPr>
                <w:rFonts w:ascii="Arial" w:hAnsi="Arial" w:cs="Arial"/>
                <w:lang w:val="ru-RU"/>
              </w:rPr>
            </w:pPr>
            <w:r w:rsidRPr="00821E74">
              <w:rPr>
                <w:rStyle w:val="13"/>
                <w:rFonts w:ascii="Arial" w:hAnsi="Arial" w:cs="Arial"/>
                <w:vertAlign w:val="superscript"/>
                <w:lang w:val="uk-UA"/>
              </w:rPr>
              <w:t>1 </w:t>
            </w:r>
            <w:r w:rsidR="00821E74">
              <w:rPr>
                <w:rFonts w:ascii="Arial" w:hAnsi="Arial" w:cs="Arial"/>
                <w:lang w:val="uk-UA"/>
              </w:rPr>
              <w:t>Після закінчення строку дії дого</w:t>
            </w:r>
            <w:r w:rsidRPr="00821E74">
              <w:rPr>
                <w:rFonts w:ascii="Arial" w:hAnsi="Arial" w:cs="Arial"/>
                <w:lang w:val="uk-UA"/>
              </w:rPr>
              <w:t>вору</w:t>
            </w:r>
            <w:r w:rsidR="00821E74">
              <w:rPr>
                <w:rFonts w:ascii="Arial" w:hAnsi="Arial" w:cs="Arial"/>
                <w:lang w:val="uk-UA"/>
              </w:rPr>
              <w:t>.</w:t>
            </w:r>
          </w:p>
          <w:p w14:paraId="34F6074F" w14:textId="77777777" w:rsidR="00B03953" w:rsidRPr="00821E74" w:rsidRDefault="00B03953" w:rsidP="007C5773">
            <w:pPr>
              <w:pStyle w:val="11"/>
              <w:rPr>
                <w:rFonts w:ascii="Arial" w:hAnsi="Arial" w:cs="Arial"/>
                <w:lang w:val="ru-RU"/>
              </w:rPr>
            </w:pPr>
            <w:r w:rsidRPr="00821E74">
              <w:rPr>
                <w:rFonts w:ascii="Arial" w:hAnsi="Arial" w:cs="Arial"/>
                <w:vertAlign w:val="superscript"/>
                <w:lang w:val="uk-UA"/>
              </w:rPr>
              <w:t>2</w:t>
            </w:r>
            <w:r w:rsidRPr="00821E74">
              <w:rPr>
                <w:rFonts w:ascii="Arial" w:hAnsi="Arial" w:cs="Arial"/>
                <w:lang w:val="uk-UA"/>
              </w:rPr>
              <w:t xml:space="preserve"> Див. примітку до справи </w:t>
            </w:r>
            <w:r w:rsidRPr="00821E74">
              <w:rPr>
                <w:rFonts w:ascii="Arial" w:hAnsi="Arial" w:cs="Arial"/>
                <w:lang w:val="ru-RU"/>
              </w:rPr>
              <w:t>05-14</w:t>
            </w:r>
          </w:p>
        </w:tc>
      </w:tr>
      <w:tr w:rsidR="00B03953" w:rsidRPr="00821E74" w14:paraId="6589856B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8C5A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A25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Документи (звіти, протоколи, акти) документальних ревізій, перевірок та аудиту фінансово-господарської діяльності, контрольно-ревізійної роботи, у тому числі перевірок каси, правильності стягнення податків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925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C72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5 р.</w:t>
            </w:r>
            <w:r w:rsidRPr="00821E74">
              <w:rPr>
                <w:rFonts w:ascii="Arial" w:hAnsi="Arial" w:cs="Arial"/>
                <w:bCs/>
                <w:lang w:val="uk-UA"/>
              </w:rPr>
              <w:br/>
              <w:t>ст. 341</w:t>
            </w:r>
          </w:p>
        </w:tc>
        <w:tc>
          <w:tcPr>
            <w:tcW w:w="219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30F942EF" w14:textId="77777777" w:rsidR="00B03953" w:rsidRPr="00821E74" w:rsidRDefault="00B03953" w:rsidP="007C5773">
            <w:pPr>
              <w:pStyle w:val="14"/>
              <w:spacing w:before="60" w:after="60"/>
              <w:ind w:left="-39" w:right="11"/>
              <w:rPr>
                <w:rFonts w:ascii="Arial" w:eastAsia="Calibri" w:hAnsi="Arial" w:cs="Arial"/>
                <w:szCs w:val="24"/>
                <w:shd w:val="clear" w:color="auto" w:fill="FFFF00"/>
                <w:lang w:eastAsia="en-US"/>
              </w:rPr>
            </w:pPr>
          </w:p>
        </w:tc>
      </w:tr>
      <w:tr w:rsidR="00B03953" w:rsidRPr="00821E74" w14:paraId="73933C83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355B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BF2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Документи (протоколи  інвентариза</w:t>
            </w:r>
            <w:r w:rsidRPr="00821E74">
              <w:rPr>
                <w:rFonts w:ascii="Arial" w:hAnsi="Arial" w:cs="Arial"/>
                <w:bCs/>
                <w:lang w:val="uk-UA"/>
              </w:rPr>
              <w:softHyphen/>
              <w:t>ційних комісій, акти інвентаризації, інвентаризаційні описи) про інвен</w:t>
            </w:r>
            <w:r w:rsidRPr="00821E74">
              <w:rPr>
                <w:rFonts w:ascii="Arial" w:hAnsi="Arial" w:cs="Arial"/>
                <w:bCs/>
                <w:lang w:val="uk-UA"/>
              </w:rPr>
              <w:softHyphen/>
              <w:t>таризацію основних засобів, матері</w:t>
            </w:r>
            <w:r w:rsidRPr="00821E74">
              <w:rPr>
                <w:rFonts w:ascii="Arial" w:hAnsi="Arial" w:cs="Arial"/>
                <w:bCs/>
                <w:lang w:val="uk-UA"/>
              </w:rPr>
              <w:softHyphen/>
              <w:t>альних цінностей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E5E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529D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5 р.</w:t>
            </w:r>
            <w:r w:rsidRPr="00821E74">
              <w:rPr>
                <w:rFonts w:ascii="Arial" w:hAnsi="Arial" w:cs="Arial"/>
                <w:bCs/>
                <w:vertAlign w:val="superscript"/>
              </w:rPr>
              <w:t>1</w:t>
            </w:r>
            <w:r w:rsidRPr="00821E74">
              <w:rPr>
                <w:rFonts w:ascii="Arial" w:hAnsi="Arial" w:cs="Arial"/>
                <w:bCs/>
                <w:lang w:val="uk-UA"/>
              </w:rPr>
              <w:br/>
              <w:t>ст. 345</w:t>
            </w:r>
          </w:p>
        </w:tc>
        <w:tc>
          <w:tcPr>
            <w:tcW w:w="219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</w:tcPr>
          <w:p w14:paraId="19AF4268" w14:textId="77777777" w:rsidR="00B03953" w:rsidRPr="00821E74" w:rsidRDefault="00B03953" w:rsidP="007C57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21E74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821E74">
              <w:rPr>
                <w:rFonts w:ascii="Arial" w:hAnsi="Arial" w:cs="Arial"/>
                <w:sz w:val="24"/>
                <w:szCs w:val="24"/>
              </w:rPr>
              <w:t> Див. примітку до справи 05-14</w:t>
            </w:r>
          </w:p>
        </w:tc>
      </w:tr>
      <w:tr w:rsidR="00B03953" w:rsidRPr="00821E74" w14:paraId="38AA2225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5849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DB8A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Облікові регістри (головна книга, журнали, відомість нарахування амортизації, оборотні відомості, інвентарні картки, розроблювальні таблиці тощо)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9B8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E3F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5 р.</w:t>
            </w:r>
            <w:r w:rsidRPr="00821E74">
              <w:rPr>
                <w:rFonts w:ascii="Arial" w:hAnsi="Arial" w:cs="Arial"/>
                <w:bCs/>
                <w:vertAlign w:val="superscript"/>
                <w:lang w:val="uk-UA"/>
              </w:rPr>
              <w:t>1</w:t>
            </w:r>
            <w:r w:rsidRPr="00821E74">
              <w:rPr>
                <w:rFonts w:ascii="Arial" w:hAnsi="Arial" w:cs="Arial"/>
                <w:bCs/>
                <w:lang w:val="uk-UA"/>
              </w:rPr>
              <w:br/>
              <w:t>ст. 351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4A0EA" w14:textId="77777777" w:rsidR="00B03953" w:rsidRPr="00821E74" w:rsidRDefault="00B03953" w:rsidP="007C5773">
            <w:pPr>
              <w:pStyle w:val="14"/>
              <w:spacing w:before="60" w:after="60"/>
              <w:ind w:left="-39" w:right="11"/>
              <w:rPr>
                <w:rFonts w:ascii="Arial" w:hAnsi="Arial" w:cs="Arial"/>
                <w:szCs w:val="24"/>
              </w:rPr>
            </w:pPr>
            <w:r w:rsidRPr="00821E74">
              <w:rPr>
                <w:rFonts w:ascii="Arial" w:hAnsi="Arial" w:cs="Arial"/>
                <w:szCs w:val="24"/>
                <w:vertAlign w:val="superscript"/>
              </w:rPr>
              <w:t>1</w:t>
            </w:r>
            <w:r w:rsidRPr="00821E74">
              <w:rPr>
                <w:rFonts w:ascii="Arial" w:hAnsi="Arial" w:cs="Arial"/>
                <w:szCs w:val="24"/>
              </w:rPr>
              <w:t> Див. примітку до справи 05-14</w:t>
            </w:r>
          </w:p>
          <w:p w14:paraId="64DE2123" w14:textId="77777777" w:rsidR="00B03953" w:rsidRPr="00821E74" w:rsidRDefault="00B03953" w:rsidP="007C5773">
            <w:pPr>
              <w:pStyle w:val="14"/>
              <w:spacing w:before="60" w:after="60"/>
              <w:ind w:left="-39" w:right="11"/>
              <w:rPr>
                <w:rFonts w:ascii="Arial" w:hAnsi="Arial" w:cs="Arial"/>
                <w:szCs w:val="24"/>
              </w:rPr>
            </w:pPr>
            <w:r w:rsidRPr="00821E74">
              <w:rPr>
                <w:rFonts w:ascii="Arial" w:hAnsi="Arial" w:cs="Arial"/>
                <w:szCs w:val="24"/>
              </w:rPr>
              <w:t xml:space="preserve">(ведуться в електронній формі) </w:t>
            </w:r>
          </w:p>
        </w:tc>
      </w:tr>
      <w:tr w:rsidR="00B03953" w:rsidRPr="00821E74" w14:paraId="77339D8F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A487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CD00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 xml:space="preserve">Журнали реєстрації договорів (господарських, операційних, цивільно-правових, про навчання тощо)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983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F7D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</w:rPr>
            </w:pPr>
            <w:r w:rsidRPr="00821E74">
              <w:rPr>
                <w:rFonts w:ascii="Arial" w:hAnsi="Arial" w:cs="Arial"/>
                <w:lang w:val="uk-UA"/>
              </w:rPr>
              <w:t>5</w:t>
            </w:r>
            <w:r w:rsidRPr="00821E74">
              <w:rPr>
                <w:rFonts w:ascii="Arial" w:hAnsi="Arial" w:cs="Arial"/>
                <w:lang w:val="ru-RU"/>
              </w:rPr>
              <w:t> </w:t>
            </w:r>
            <w:r w:rsidRPr="00821E74">
              <w:rPr>
                <w:rFonts w:ascii="Arial" w:hAnsi="Arial" w:cs="Arial"/>
                <w:lang w:val="uk-UA"/>
              </w:rPr>
              <w:t>р.</w:t>
            </w:r>
            <w:r w:rsidRPr="00821E74">
              <w:rPr>
                <w:rFonts w:ascii="Arial" w:hAnsi="Arial" w:cs="Arial"/>
                <w:vertAlign w:val="superscript"/>
                <w:lang w:val="uk-UA"/>
              </w:rPr>
              <w:t>1, 2</w:t>
            </w:r>
          </w:p>
          <w:p w14:paraId="608C83A3" w14:textId="77777777" w:rsidR="00B03953" w:rsidRPr="00821E74" w:rsidRDefault="00B03953" w:rsidP="007C5773">
            <w:pPr>
              <w:pStyle w:val="11"/>
              <w:snapToGrid w:val="0"/>
              <w:jc w:val="center"/>
              <w:rPr>
                <w:rFonts w:ascii="Arial" w:hAnsi="Arial" w:cs="Arial"/>
              </w:rPr>
            </w:pPr>
            <w:r w:rsidRPr="00821E74">
              <w:rPr>
                <w:rFonts w:ascii="Arial" w:hAnsi="Arial" w:cs="Arial"/>
                <w:lang w:val="uk-UA"/>
              </w:rPr>
              <w:t>ст.</w:t>
            </w:r>
            <w:r w:rsidRPr="00821E74">
              <w:rPr>
                <w:rFonts w:ascii="Arial" w:hAnsi="Arial" w:cs="Arial"/>
                <w:lang w:val="ru-RU"/>
              </w:rPr>
              <w:t> 352-в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2ED58" w14:textId="2930CCE9" w:rsidR="00B03953" w:rsidRPr="00821E74" w:rsidRDefault="00B03953" w:rsidP="007C5773">
            <w:pPr>
              <w:pStyle w:val="11"/>
              <w:rPr>
                <w:rFonts w:ascii="Arial" w:hAnsi="Arial" w:cs="Arial"/>
                <w:lang w:val="ru-RU"/>
              </w:rPr>
            </w:pPr>
            <w:r w:rsidRPr="00821E74">
              <w:rPr>
                <w:rStyle w:val="13"/>
                <w:rFonts w:ascii="Arial" w:hAnsi="Arial" w:cs="Arial"/>
                <w:vertAlign w:val="superscript"/>
                <w:lang w:val="uk-UA"/>
              </w:rPr>
              <w:t>1 </w:t>
            </w:r>
            <w:r w:rsidR="00821E74">
              <w:rPr>
                <w:rFonts w:ascii="Arial" w:hAnsi="Arial" w:cs="Arial"/>
                <w:lang w:val="uk-UA"/>
              </w:rPr>
              <w:t>Після закінчен</w:t>
            </w:r>
            <w:r w:rsidRPr="00821E74">
              <w:rPr>
                <w:rFonts w:ascii="Arial" w:hAnsi="Arial" w:cs="Arial"/>
                <w:lang w:val="uk-UA"/>
              </w:rPr>
              <w:t>ня журналу</w:t>
            </w:r>
          </w:p>
          <w:p w14:paraId="4A77F660" w14:textId="77777777" w:rsidR="00B03953" w:rsidRPr="00821E74" w:rsidRDefault="00B03953" w:rsidP="007C5773">
            <w:pPr>
              <w:pStyle w:val="11"/>
              <w:snapToGrid w:val="0"/>
              <w:rPr>
                <w:rFonts w:ascii="Arial" w:hAnsi="Arial" w:cs="Arial"/>
                <w:lang w:val="ru-RU"/>
              </w:rPr>
            </w:pPr>
            <w:r w:rsidRPr="00821E74">
              <w:rPr>
                <w:rFonts w:ascii="Arial" w:hAnsi="Arial" w:cs="Arial"/>
                <w:vertAlign w:val="superscript"/>
                <w:lang w:val="uk-UA"/>
              </w:rPr>
              <w:t>2</w:t>
            </w:r>
            <w:r w:rsidRPr="00821E74">
              <w:rPr>
                <w:rFonts w:ascii="Arial" w:hAnsi="Arial" w:cs="Arial"/>
                <w:lang w:val="uk-UA"/>
              </w:rPr>
              <w:t xml:space="preserve"> Див. примітку до справи </w:t>
            </w:r>
            <w:r w:rsidRPr="00821E74">
              <w:rPr>
                <w:rFonts w:ascii="Arial" w:hAnsi="Arial" w:cs="Arial"/>
                <w:lang w:val="ru-RU"/>
              </w:rPr>
              <w:t>05-14</w:t>
            </w:r>
          </w:p>
        </w:tc>
      </w:tr>
      <w:tr w:rsidR="00B03953" w:rsidRPr="00821E74" w14:paraId="37B959FD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B3E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967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Протоколи засідань комісії з соціа</w:t>
            </w:r>
            <w:r w:rsidRPr="00821E74">
              <w:rPr>
                <w:rFonts w:ascii="Arial" w:hAnsi="Arial" w:cs="Arial"/>
                <w:bCs/>
                <w:lang w:val="uk-UA"/>
              </w:rPr>
              <w:softHyphen/>
              <w:t>ль</w:t>
            </w:r>
            <w:r w:rsidRPr="00821E74">
              <w:rPr>
                <w:rFonts w:ascii="Arial" w:hAnsi="Arial" w:cs="Arial"/>
                <w:bCs/>
                <w:lang w:val="uk-UA"/>
              </w:rPr>
              <w:softHyphen/>
              <w:t>ного страхування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0E2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720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</w:rPr>
            </w:pPr>
            <w:r w:rsidRPr="00821E74">
              <w:rPr>
                <w:rStyle w:val="st42"/>
                <w:rFonts w:ascii="Arial" w:hAnsi="Arial" w:cs="Arial"/>
              </w:rPr>
              <w:t>5 р.</w:t>
            </w:r>
            <w:r w:rsidRPr="00821E74">
              <w:rPr>
                <w:rStyle w:val="st42"/>
                <w:rFonts w:ascii="Arial" w:hAnsi="Arial" w:cs="Arial"/>
              </w:rPr>
              <w:br/>
            </w:r>
            <w:proofErr w:type="spellStart"/>
            <w:r w:rsidRPr="00821E74">
              <w:rPr>
                <w:rStyle w:val="st42"/>
                <w:rFonts w:ascii="Arial" w:hAnsi="Arial" w:cs="Arial"/>
              </w:rPr>
              <w:t>ст</w:t>
            </w:r>
            <w:proofErr w:type="spellEnd"/>
            <w:r w:rsidRPr="00821E74">
              <w:rPr>
                <w:rStyle w:val="st42"/>
                <w:rFonts w:ascii="Arial" w:hAnsi="Arial" w:cs="Arial"/>
              </w:rPr>
              <w:t>. 711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082DD" w14:textId="77777777" w:rsidR="00B03953" w:rsidRPr="00821E74" w:rsidRDefault="00B03953" w:rsidP="007C5773">
            <w:pPr>
              <w:pStyle w:val="TableParagraph"/>
              <w:spacing w:before="60" w:after="60" w:line="244" w:lineRule="auto"/>
              <w:ind w:left="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3181BEA3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0292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5B5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 xml:space="preserve">Листки непрацездатності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BFD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FB55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</w:rPr>
            </w:pPr>
            <w:r w:rsidRPr="00821E74">
              <w:rPr>
                <w:rStyle w:val="st42"/>
                <w:rFonts w:ascii="Arial" w:hAnsi="Arial" w:cs="Arial"/>
                <w:lang w:val="uk-UA"/>
              </w:rPr>
              <w:t>3 р.</w:t>
            </w:r>
            <w:r w:rsidRPr="00821E74">
              <w:rPr>
                <w:rStyle w:val="st42"/>
                <w:rFonts w:ascii="Arial" w:hAnsi="Arial" w:cs="Arial"/>
                <w:lang w:val="uk-UA"/>
              </w:rPr>
              <w:br/>
              <w:t>ст. 716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2C9BB" w14:textId="77777777" w:rsidR="00B03953" w:rsidRPr="00821E74" w:rsidRDefault="00B03953" w:rsidP="007C577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75FF30F6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36D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FFC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Копії довідок, виданих працівникам про стаж і місце роботи, заробітну плату тощо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C43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787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</w:rPr>
            </w:pPr>
            <w:r w:rsidRPr="00821E74">
              <w:rPr>
                <w:rStyle w:val="st42"/>
                <w:rFonts w:ascii="Arial" w:hAnsi="Arial" w:cs="Arial"/>
                <w:lang w:val="uk-UA"/>
              </w:rPr>
              <w:t>3 р.</w:t>
            </w:r>
            <w:r w:rsidRPr="00821E74">
              <w:rPr>
                <w:rStyle w:val="st42"/>
                <w:rFonts w:ascii="Arial" w:hAnsi="Arial" w:cs="Arial"/>
                <w:lang w:val="uk-UA"/>
              </w:rPr>
              <w:br/>
              <w:t>ст. 517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F20EE" w14:textId="77777777" w:rsidR="00B03953" w:rsidRPr="00821E74" w:rsidRDefault="00B03953" w:rsidP="007C5773">
            <w:pPr>
              <w:pStyle w:val="14"/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B03953" w:rsidRPr="00821E74" w14:paraId="7E90D53C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9CA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DEE" w14:textId="77777777" w:rsidR="00B03953" w:rsidRPr="00821E74" w:rsidRDefault="00B03953" w:rsidP="007C5773">
            <w:pPr>
              <w:pStyle w:val="12"/>
              <w:tabs>
                <w:tab w:val="clear" w:pos="4153"/>
                <w:tab w:val="clear" w:pos="8306"/>
              </w:tabs>
              <w:snapToGrid w:val="0"/>
              <w:rPr>
                <w:rFonts w:ascii="Arial" w:hAnsi="Arial" w:cs="Arial"/>
                <w:bCs/>
                <w:lang w:val="uk-UA"/>
              </w:rPr>
            </w:pPr>
            <w:r w:rsidRPr="00821E74">
              <w:rPr>
                <w:rFonts w:ascii="Arial" w:hAnsi="Arial" w:cs="Arial"/>
                <w:bCs/>
                <w:lang w:val="uk-UA"/>
              </w:rPr>
              <w:t>Табель обліку використання робо</w:t>
            </w:r>
            <w:r w:rsidRPr="00821E74">
              <w:rPr>
                <w:rFonts w:ascii="Arial" w:hAnsi="Arial" w:cs="Arial"/>
                <w:bCs/>
                <w:lang w:val="uk-UA"/>
              </w:rPr>
              <w:softHyphen/>
              <w:t>чо</w:t>
            </w:r>
            <w:r w:rsidRPr="00821E74">
              <w:rPr>
                <w:rFonts w:ascii="Arial" w:hAnsi="Arial" w:cs="Arial"/>
                <w:bCs/>
                <w:lang w:val="uk-UA"/>
              </w:rPr>
              <w:softHyphen/>
              <w:t>го часу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B3E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3D0" w14:textId="77777777" w:rsidR="00B03953" w:rsidRPr="00821E74" w:rsidRDefault="00B03953" w:rsidP="007C5773">
            <w:pPr>
              <w:pStyle w:val="11"/>
              <w:jc w:val="center"/>
              <w:rPr>
                <w:rFonts w:ascii="Arial" w:hAnsi="Arial" w:cs="Arial"/>
              </w:rPr>
            </w:pPr>
            <w:r w:rsidRPr="00821E74">
              <w:rPr>
                <w:rStyle w:val="st42"/>
                <w:rFonts w:ascii="Arial" w:hAnsi="Arial" w:cs="Arial"/>
                <w:lang w:val="uk-UA"/>
              </w:rPr>
              <w:t>1 р.</w:t>
            </w:r>
            <w:r w:rsidRPr="00821E74">
              <w:rPr>
                <w:rStyle w:val="st42"/>
                <w:rFonts w:ascii="Arial" w:hAnsi="Arial" w:cs="Arial"/>
                <w:lang w:val="uk-UA"/>
              </w:rPr>
              <w:br/>
              <w:t>ст. 408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D97AF" w14:textId="77777777" w:rsidR="00B03953" w:rsidRPr="00821E74" w:rsidRDefault="00B03953" w:rsidP="007C57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953" w:rsidRPr="00821E74" w14:paraId="6CD49F4E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5A3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05-27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1060" w14:textId="77777777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Номенклатура справ бухгалтерії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1BA0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091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р.</w:t>
            </w:r>
            <w:r w:rsidRPr="00821E7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</w:t>
            </w: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ст. 112-в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0B38A" w14:textId="5E625BA4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</w:t>
            </w: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Післ</w:t>
            </w:r>
            <w:r w:rsid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заміни новою та за умови передан</w:t>
            </w: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 справ до архіву навчального центру</w:t>
            </w:r>
          </w:p>
        </w:tc>
      </w:tr>
      <w:tr w:rsidR="00B03953" w:rsidRPr="00821E74" w14:paraId="03C7F03D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BF0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F8B" w14:textId="77777777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AAA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D6C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62721" w14:textId="77777777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3953" w:rsidRPr="00821E74" w14:paraId="6F1F67A3" w14:textId="77777777" w:rsidTr="007C577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3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012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1E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05-29</w:t>
            </w:r>
          </w:p>
          <w:p w14:paraId="530776F3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BE5" w14:textId="77777777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54F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2780" w14:textId="77777777" w:rsidR="00B03953" w:rsidRPr="00821E74" w:rsidRDefault="00B03953" w:rsidP="007C57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8555B" w14:textId="77777777" w:rsidR="00B03953" w:rsidRPr="00821E74" w:rsidRDefault="00B03953" w:rsidP="007C57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2D7C16B" w14:textId="77777777" w:rsidR="00B03953" w:rsidRPr="00821E74" w:rsidRDefault="00B03953" w:rsidP="00B03953">
      <w:pPr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23DA3F" w14:textId="77777777" w:rsidR="00B03953" w:rsidRPr="00821E74" w:rsidRDefault="00B03953" w:rsidP="00B03953">
      <w:pPr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sz w:val="24"/>
          <w:szCs w:val="24"/>
          <w:lang w:eastAsia="ru-RU"/>
        </w:rPr>
        <w:t>Головний бухгалтер</w:t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821E74">
        <w:rPr>
          <w:rFonts w:ascii="Arial" w:eastAsia="Times New Roman" w:hAnsi="Arial" w:cs="Arial"/>
          <w:i/>
          <w:sz w:val="24"/>
          <w:szCs w:val="24"/>
          <w:lang w:eastAsia="ru-RU"/>
        </w:rPr>
        <w:t>Романченко</w:t>
      </w:r>
      <w:proofErr w:type="spellEnd"/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  <w:t>Ірина РОМАНЧЕНКО</w:t>
      </w:r>
    </w:p>
    <w:p w14:paraId="5C787B73" w14:textId="77777777" w:rsidR="00B03953" w:rsidRPr="00821E74" w:rsidRDefault="00B03953" w:rsidP="00B03953">
      <w:pPr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sz w:val="24"/>
          <w:szCs w:val="24"/>
          <w:lang w:eastAsia="ru-RU"/>
        </w:rPr>
        <w:t>14 листопада 2025 року</w:t>
      </w:r>
    </w:p>
    <w:p w14:paraId="1524DF72" w14:textId="77777777" w:rsidR="00B03953" w:rsidRPr="00821E74" w:rsidRDefault="00B03953" w:rsidP="00B03953">
      <w:pPr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9CC4C6" w14:textId="77777777" w:rsidR="00B03953" w:rsidRPr="00821E74" w:rsidRDefault="00B03953" w:rsidP="00B03953">
      <w:pPr>
        <w:spacing w:before="60"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sz w:val="24"/>
          <w:szCs w:val="24"/>
          <w:lang w:eastAsia="ru-RU"/>
        </w:rPr>
        <w:t>Архіваріус</w:t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i/>
          <w:sz w:val="24"/>
          <w:szCs w:val="24"/>
          <w:lang w:eastAsia="ru-RU"/>
        </w:rPr>
        <w:t>Волинський</w:t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21E74">
        <w:rPr>
          <w:rFonts w:ascii="Arial" w:eastAsia="Times New Roman" w:hAnsi="Arial" w:cs="Arial"/>
          <w:sz w:val="24"/>
          <w:szCs w:val="24"/>
          <w:lang w:eastAsia="ru-RU"/>
        </w:rPr>
        <w:tab/>
        <w:t>Віктор ВОЛИНСЬКИЙ</w:t>
      </w:r>
    </w:p>
    <w:p w14:paraId="1335A7CA" w14:textId="77777777" w:rsidR="00B03953" w:rsidRPr="00821E74" w:rsidRDefault="00B03953" w:rsidP="00B03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1E74">
        <w:rPr>
          <w:rFonts w:ascii="Arial" w:eastAsia="Times New Roman" w:hAnsi="Arial" w:cs="Arial"/>
          <w:sz w:val="24"/>
          <w:szCs w:val="24"/>
          <w:lang w:eastAsia="ru-RU"/>
        </w:rPr>
        <w:t>14 листопада 2025 року</w:t>
      </w:r>
    </w:p>
    <w:sectPr w:rsidR="00B03953" w:rsidRPr="00821E74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53"/>
    <w:rsid w:val="00390891"/>
    <w:rsid w:val="00806BAB"/>
    <w:rsid w:val="00821E74"/>
    <w:rsid w:val="00AC1CB0"/>
    <w:rsid w:val="00B03953"/>
    <w:rsid w:val="00EF7049"/>
    <w:rsid w:val="00F2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633E"/>
  <w15:chartTrackingRefBased/>
  <w15:docId w15:val="{4F1A4AE7-D1C6-4080-96A5-5EDFD2C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953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9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9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9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9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9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9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9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95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39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95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039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39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3953"/>
    <w:rPr>
      <w:b/>
      <w:bCs/>
      <w:smallCaps/>
      <w:color w:val="2F5496" w:themeColor="accent1" w:themeShade="BF"/>
      <w:spacing w:val="5"/>
    </w:rPr>
  </w:style>
  <w:style w:type="paragraph" w:customStyle="1" w:styleId="11">
    <w:name w:val="Звичайний1"/>
    <w:rsid w:val="00B039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12">
    <w:name w:val="Нижній колонтитул1"/>
    <w:basedOn w:val="11"/>
    <w:rsid w:val="00B03953"/>
    <w:pPr>
      <w:widowControl/>
      <w:tabs>
        <w:tab w:val="center" w:pos="4153"/>
        <w:tab w:val="right" w:pos="8306"/>
      </w:tabs>
      <w:textAlignment w:val="auto"/>
    </w:pPr>
    <w:rPr>
      <w:rFonts w:eastAsia="Times New Roman" w:cs="Times New Roman"/>
      <w:kern w:val="0"/>
      <w:lang w:val="ru-RU" w:eastAsia="ar-SA" w:bidi="ar-SA"/>
    </w:rPr>
  </w:style>
  <w:style w:type="paragraph" w:customStyle="1" w:styleId="210">
    <w:name w:val="Основной текст (2)1"/>
    <w:basedOn w:val="a"/>
    <w:rsid w:val="00B03953"/>
    <w:pPr>
      <w:widowControl w:val="0"/>
      <w:shd w:val="clear" w:color="auto" w:fill="FFFFFF"/>
      <w:autoSpaceDN w:val="0"/>
      <w:spacing w:after="0" w:line="240" w:lineRule="atLeast"/>
    </w:pPr>
    <w:rPr>
      <w:rFonts w:ascii="Times New Roman" w:eastAsia="Andale Sans UI" w:hAnsi="Times New Roman" w:cs="Tahoma"/>
      <w:kern w:val="3"/>
      <w:sz w:val="26"/>
      <w:szCs w:val="26"/>
      <w:lang w:val="de-DE" w:eastAsia="ja-JP" w:bidi="fa-IR"/>
    </w:rPr>
  </w:style>
  <w:style w:type="character" w:customStyle="1" w:styleId="13">
    <w:name w:val="Шрифт абзацу за замовчуванням1"/>
    <w:rsid w:val="00B03953"/>
  </w:style>
  <w:style w:type="character" w:customStyle="1" w:styleId="st42">
    <w:name w:val="st42"/>
    <w:rsid w:val="00B03953"/>
    <w:rPr>
      <w:color w:val="000000"/>
    </w:rPr>
  </w:style>
  <w:style w:type="paragraph" w:customStyle="1" w:styleId="14">
    <w:name w:val="Обычный1"/>
    <w:rsid w:val="00B03953"/>
    <w:pPr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customStyle="1" w:styleId="TableParagraph">
    <w:name w:val="Table Paragraph"/>
    <w:basedOn w:val="a"/>
    <w:rsid w:val="00B03953"/>
    <w:pPr>
      <w:widowControl w:val="0"/>
      <w:autoSpaceDN w:val="0"/>
      <w:spacing w:after="0" w:line="240" w:lineRule="auto"/>
    </w:pPr>
  </w:style>
  <w:style w:type="character" w:customStyle="1" w:styleId="st30">
    <w:name w:val="st30"/>
    <w:rsid w:val="00B03953"/>
    <w:rPr>
      <w:b/>
      <w:bCs/>
      <w:color w:val="000000"/>
      <w:position w:val="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3274</Words>
  <Characters>1867</Characters>
  <Application>Microsoft Office Word</Application>
  <DocSecurity>0</DocSecurity>
  <Lines>15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Олена</cp:lastModifiedBy>
  <cp:revision>3</cp:revision>
  <dcterms:created xsi:type="dcterms:W3CDTF">2025-11-13T13:09:00Z</dcterms:created>
  <dcterms:modified xsi:type="dcterms:W3CDTF">2025-11-13T13:43:00Z</dcterms:modified>
</cp:coreProperties>
</file>