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e9ec" w14:textId="b0be9ec">
      <w:pPr>
        <w:spacing/>
        <w:ind w:left="0"/>
        <w:jc w:val="left"/>
        <w15:collapsed w:val="false"/>
      </w:pPr>
      <w:r>
        <w:rPr>
          <w:rFonts w:ascii="Arial" w:hAnsi="Arial"/>
          <w:b w:val="false"/>
          <w:i w:val="false"/>
          <w:color w:val="000000"/>
          <w:sz w:val="18"/>
        </w:rPr>
        <w:t>Щодо порядку оподаткування ПДВ та єдиним податком операції з безоплатного користування нежитловим приміщенням згідно договору позички | Законодавство | LIGA360</w:t>
      </w:r>
    </w:p>
    <w:tbl>
      <w:tblPr>
        <w:tblW w:w="0" w:type="auto"/>
        <w:tblCellSpacing w:w="0" w:type="auto"/>
        <w:tblBorders>
          <w:top w:val="single" w:color="e5e2ff" w:sz="8"/>
          <w:left w:val="none"/>
          <w:bottom w:val="none"/>
          <w:right w:val="none"/>
          <w:insideH w:val="none"/>
          <w:insideV w:val="none"/>
        </w:tblBorders>
      </w:tblPr>
      <w:tblGrid>
        <w:gridCol w:w="9690"/>
      </w:tblGrid>
      <w:tr>
        <w:trPr>
          <w:trHeight w:val="30" w:hRule="atLeast"/>
        </w:trPr>
        <w:tc>
          <w:tcPr>
            <w:tcW w:w="9690" w:type="dxa"/>
            <w:tcBorders/>
            <w:vAlign w:val="center"/>
          </w:tcPr>
          <w:p/>
        </w:tc>
      </w:tr>
    </w:tbl>
    <w:p>
      <w:pPr>
        <w:spacing w:after="75"/>
        <w:ind w:left="0"/>
        <w:jc w:val="center"/>
      </w:pPr>
      <w:bookmarkStart w:name="1" w:id="0"/>
      <w:r>
        <w:drawing>
          <wp:inline distT="0" distB="0" distL="0" distR="0">
            <wp:extent cx="7112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Start w:name="2" w:id="1"/>
    <w:p>
      <w:pPr>
        <w:spacing w:after="75"/>
        <w:ind w:left="0"/>
        <w:jc w:val="center"/>
      </w:pPr>
      <w:r>
        <w:rPr>
          <w:rFonts w:ascii="Arial" w:hAnsi="Arial"/>
          <w:b/>
          <w:i w:val="false"/>
          <w:color w:val="000000"/>
          <w:sz w:val="21"/>
        </w:rPr>
        <w:t>ДЕРЖАВНА ПОДАТКОВА СЛУЖБА УКРАЇНИ</w:t>
      </w:r>
    </w:p>
    <w:bookmarkEnd w:id="1"/>
    <w:bookmarkStart w:name="3" w:id="2"/>
    <w:p>
      <w:pPr>
        <w:pStyle w:val="Heading2"/>
        <w:spacing w:after="225"/>
        <w:ind w:left="0"/>
        <w:jc w:val="center"/>
      </w:pPr>
      <w:r>
        <w:rPr>
          <w:rFonts w:ascii="Arial" w:hAnsi="Arial"/>
          <w:color w:val="000000"/>
          <w:sz w:val="40"/>
        </w:rPr>
        <w:t>ІНДИВІДУАЛЬНА ПОДАТКОВА КОНСУЛЬТАЦІЯ</w:t>
      </w:r>
    </w:p>
    <w:bookmarkEnd w:id="2"/>
    <w:bookmarkStart w:name="4" w:id="3"/>
    <w:p>
      <w:pPr>
        <w:spacing w:after="75"/>
        <w:ind w:left="0"/>
        <w:jc w:val="center"/>
      </w:pPr>
      <w:r>
        <w:rPr>
          <w:rFonts w:ascii="Arial" w:hAnsi="Arial"/>
          <w:b/>
          <w:i w:val="false"/>
          <w:color w:val="000000"/>
          <w:sz w:val="24"/>
        </w:rPr>
        <w:t>від 04.02.2022 р. N 306/ІПК/99-00-21-03-02-06</w:t>
      </w:r>
    </w:p>
    <w:bookmarkEnd w:id="3"/>
    <w:bookmarkStart w:name="5" w:id="4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Державна податкова служба України розглянула звернення Товариства щодо порядку оподаткування ПДВ та єдиним податком операції з безоплатного користування нежитловим приміщенням згідно договору позички та, керуючись </w:t>
      </w:r>
      <w:r>
        <w:rPr>
          <w:rFonts w:ascii="Arial" w:hAnsi="Arial"/>
          <w:b w:val="false"/>
          <w:i w:val="false"/>
          <w:color w:val="293a55"/>
          <w:sz w:val="24"/>
        </w:rPr>
        <w:t>статтею 52 розділу II Податкового кодексу України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(далі - Кодекс), повідомляє.</w:t>
      </w:r>
    </w:p>
    <w:bookmarkEnd w:id="4"/>
    <w:bookmarkStart w:name="6" w:id="5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>Як зазначено у зверненні, Товариство перебуває на спрощеній системі оподаткування третьої групи, є платником ПДВ та має намір отримати у безоплатне тимчасове користування офісне приміщення шляхом укладання договору позички з фізичною особою, яка є засновником та директором даного підприємства.</w:t>
      </w:r>
    </w:p>
    <w:bookmarkEnd w:id="5"/>
    <w:bookmarkStart w:name="7" w:id="6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>Разом з тим у зверненні не вказано, чи є особа, яка передає офісне приміщення у безоплатне тимчасове користування за договором позички, фізичною особою - підприємцем та чи зареєстрована вона як платник ПДВ.</w:t>
      </w:r>
    </w:p>
    <w:bookmarkEnd w:id="6"/>
    <w:bookmarkStart w:name="8" w:id="7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Відносини, що виникають у сфері справляння податків і зборів, регулюються нормами </w:t>
      </w:r>
      <w:r>
        <w:rPr>
          <w:rFonts w:ascii="Arial" w:hAnsi="Arial"/>
          <w:b w:val="false"/>
          <w:i w:val="false"/>
          <w:color w:val="293a55"/>
          <w:sz w:val="24"/>
        </w:rPr>
        <w:t>Кодексу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(</w:t>
      </w:r>
      <w:r>
        <w:rPr>
          <w:rFonts w:ascii="Arial" w:hAnsi="Arial"/>
          <w:b w:val="false"/>
          <w:i w:val="false"/>
          <w:color w:val="293a55"/>
          <w:sz w:val="24"/>
        </w:rPr>
        <w:t>пункт 1.1 статті 1 розділу I Кодексу</w:t>
      </w:r>
      <w:r>
        <w:rPr>
          <w:rFonts w:ascii="Arial" w:hAnsi="Arial"/>
          <w:b w:val="false"/>
          <w:i w:val="false"/>
          <w:color w:val="000000"/>
          <w:sz w:val="24"/>
        </w:rPr>
        <w:t>).</w:t>
      </w:r>
    </w:p>
    <w:bookmarkEnd w:id="7"/>
    <w:bookmarkStart w:name="9" w:id="8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293a55"/>
          <w:sz w:val="24"/>
        </w:rPr>
        <w:t>Статтею 5 Кодексу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визначено, що поняття, правила та положення, установлені </w:t>
      </w:r>
      <w:r>
        <w:rPr>
          <w:rFonts w:ascii="Arial" w:hAnsi="Arial"/>
          <w:b w:val="false"/>
          <w:i w:val="false"/>
          <w:color w:val="293a55"/>
          <w:sz w:val="24"/>
        </w:rPr>
        <w:t>Кодексом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та законами з питань митної справи, застосовуються виключно для регулювання відносин, передбачених </w:t>
      </w:r>
      <w:r>
        <w:rPr>
          <w:rFonts w:ascii="Arial" w:hAnsi="Arial"/>
          <w:b w:val="false"/>
          <w:i w:val="false"/>
          <w:color w:val="293a55"/>
          <w:sz w:val="24"/>
        </w:rPr>
        <w:t>статтею 1 розділу I Кодексу</w:t>
      </w:r>
      <w:r>
        <w:rPr>
          <w:rFonts w:ascii="Arial" w:hAnsi="Arial"/>
          <w:b w:val="false"/>
          <w:i w:val="false"/>
          <w:color w:val="000000"/>
          <w:sz w:val="24"/>
        </w:rPr>
        <w:t>.</w:t>
      </w:r>
    </w:p>
    <w:bookmarkEnd w:id="8"/>
    <w:bookmarkStart w:name="10" w:id="9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У разі якщо поняття, терміни, правила та положення інших актів суперечать поняттям, термінам, правилам та положенням </w:t>
      </w:r>
      <w:r>
        <w:rPr>
          <w:rFonts w:ascii="Arial" w:hAnsi="Arial"/>
          <w:b w:val="false"/>
          <w:i w:val="false"/>
          <w:color w:val="293a55"/>
          <w:sz w:val="24"/>
        </w:rPr>
        <w:t>Кодексу</w:t>
      </w:r>
      <w:r>
        <w:rPr>
          <w:rFonts w:ascii="Arial" w:hAnsi="Arial"/>
          <w:b w:val="false"/>
          <w:i w:val="false"/>
          <w:color w:val="000000"/>
          <w:sz w:val="24"/>
        </w:rPr>
        <w:t>, для регулювання відносин оподаткування застосовуються поняття, терміни, правила та положення Кодексу.</w:t>
      </w:r>
    </w:p>
    <w:bookmarkEnd w:id="9"/>
    <w:bookmarkStart w:name="11" w:id="10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Інші терміни, що застосовуються у </w:t>
      </w:r>
      <w:r>
        <w:rPr>
          <w:rFonts w:ascii="Arial" w:hAnsi="Arial"/>
          <w:b w:val="false"/>
          <w:i w:val="false"/>
          <w:color w:val="293a55"/>
          <w:sz w:val="24"/>
        </w:rPr>
        <w:t>Кодексі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і не визначаються ним, використовуються у значенні, встановленому іншими законами.</w:t>
      </w:r>
    </w:p>
    <w:bookmarkEnd w:id="10"/>
    <w:bookmarkStart w:name="12" w:id="11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293a55"/>
          <w:sz w:val="24"/>
        </w:rPr>
        <w:t>Пунктом 44.1 статті 44 розділу II Кодексу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встановлено, що для цілей оподаткування платники податків зобов'язані вести облік доходів, витрат та інших показників, пов'язаних з визначенням об'єктів оподаткування та/або податкових зобов'язань, на підставі первинних документів, регістрів бухгалтерського обліку, фінансової звітності, інших документів, пов'язаних з обчисленням і сплатою податків і зборів, ведення яких передбачено законодавством.</w:t>
      </w:r>
    </w:p>
    <w:bookmarkEnd w:id="11"/>
    <w:bookmarkStart w:name="13" w:id="12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Платникам податків забороняється формування показників податкової звітності, </w:t>
      </w:r>
      <w:r>
        <w:rPr>
          <w:rFonts w:ascii="Arial" w:hAnsi="Arial"/>
          <w:b w:val="false"/>
          <w:i w:val="false"/>
          <w:color w:val="293a55"/>
          <w:sz w:val="24"/>
        </w:rPr>
        <w:t>митних декларацій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на підставі даних, не підтверджених документами, що визначені абзацом першим </w:t>
      </w:r>
      <w:r>
        <w:rPr>
          <w:rFonts w:ascii="Arial" w:hAnsi="Arial"/>
          <w:b w:val="false"/>
          <w:i w:val="false"/>
          <w:color w:val="293a55"/>
          <w:sz w:val="24"/>
        </w:rPr>
        <w:t>пункту 44.1 статті 44 розділу II Кодексу</w:t>
      </w:r>
      <w:r>
        <w:rPr>
          <w:rFonts w:ascii="Arial" w:hAnsi="Arial"/>
          <w:b w:val="false"/>
          <w:i w:val="false"/>
          <w:color w:val="000000"/>
          <w:sz w:val="24"/>
        </w:rPr>
        <w:t>.</w:t>
      </w:r>
    </w:p>
    <w:bookmarkEnd w:id="12"/>
    <w:bookmarkStart w:name="14" w:id="13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>При цьому фінансова, податкова, статистична та інші види звітності, що використовують грошовий вимірник, ґрунтуються на даних бухгалтерського обліку (</w:t>
      </w:r>
      <w:r>
        <w:rPr>
          <w:rFonts w:ascii="Arial" w:hAnsi="Arial"/>
          <w:b w:val="false"/>
          <w:i w:val="false"/>
          <w:color w:val="293a55"/>
          <w:sz w:val="24"/>
        </w:rPr>
        <w:t>частина друга статті 3 Закону України від 16 липня 1999 року N 996-XIV "Про бухгалтерський облік та фінансову звітність в Україні"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(далі - Закон N 996)).</w:t>
      </w:r>
    </w:p>
    <w:bookmarkEnd w:id="13"/>
    <w:bookmarkStart w:name="15" w:id="14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>Отже, платники податків при визначенні порядку оподаткування здійснюваних ними операцій повинні керуватися одним із основних принципів бухгалтерського обліку - превалювання сутності над формою (операції обліковуються відповідно до їх сутності, а не лише виходячи з їх юридичної форми (</w:t>
      </w:r>
      <w:r>
        <w:rPr>
          <w:rFonts w:ascii="Arial" w:hAnsi="Arial"/>
          <w:b w:val="false"/>
          <w:i w:val="false"/>
          <w:color w:val="293a55"/>
          <w:sz w:val="24"/>
        </w:rPr>
        <w:t>стаття 4 Закону N 996</w:t>
      </w:r>
      <w:r>
        <w:rPr>
          <w:rFonts w:ascii="Arial" w:hAnsi="Arial"/>
          <w:b w:val="false"/>
          <w:i w:val="false"/>
          <w:color w:val="000000"/>
          <w:sz w:val="24"/>
        </w:rPr>
        <w:t>). Для цілей податкового обліку беруться до уваги економічні наслідки, створені господарськими операціями, а не особливості оформлення таких операцій.</w:t>
      </w:r>
    </w:p>
    <w:bookmarkEnd w:id="14"/>
    <w:bookmarkStart w:name="16" w:id="15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При цьому слід враховувати положення </w:t>
      </w:r>
      <w:r>
        <w:rPr>
          <w:rFonts w:ascii="Arial" w:hAnsi="Arial"/>
          <w:b w:val="false"/>
          <w:i w:val="false"/>
          <w:color w:val="293a55"/>
          <w:sz w:val="24"/>
        </w:rPr>
        <w:t>пункту 4 статті 632 Цивільного кодексу України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(далі - ЦКУ), який передбачає, що у разі, якщо ціна у договорі не встановлена і не може бути визначена виходячи з його умов, вона визначається виходячи із звичайних цін, що склалися на аналогічні товари, роботи або послуги на момент укладення договору.</w:t>
      </w:r>
    </w:p>
    <w:bookmarkEnd w:id="15"/>
    <w:bookmarkStart w:name="17" w:id="16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Відповідно до </w:t>
      </w:r>
      <w:r>
        <w:rPr>
          <w:rFonts w:ascii="Arial" w:hAnsi="Arial"/>
          <w:b w:val="false"/>
          <w:i w:val="false"/>
          <w:color w:val="293a55"/>
          <w:sz w:val="24"/>
        </w:rPr>
        <w:t>статті 827 ЦКУ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за договором позички одна сторона (позичкодавець) безоплатно передає або зобов'язується передати другій стороні (користувачеві) річ для користування протягом встановленого строку.</w:t>
      </w:r>
    </w:p>
    <w:bookmarkEnd w:id="16"/>
    <w:bookmarkStart w:name="18" w:id="17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>Користування річчю вважається безоплатним, якщо сторони прямо домовилися про це або якщо це випливає із суті відносин між ними (</w:t>
      </w:r>
      <w:r>
        <w:rPr>
          <w:rFonts w:ascii="Arial" w:hAnsi="Arial"/>
          <w:b w:val="false"/>
          <w:i w:val="false"/>
          <w:color w:val="293a55"/>
          <w:sz w:val="24"/>
        </w:rPr>
        <w:t>пункт 2 статті 827 ЦКУ</w:t>
      </w:r>
      <w:r>
        <w:rPr>
          <w:rFonts w:ascii="Arial" w:hAnsi="Arial"/>
          <w:b w:val="false"/>
          <w:i w:val="false"/>
          <w:color w:val="000000"/>
          <w:sz w:val="24"/>
        </w:rPr>
        <w:t>).</w:t>
      </w:r>
    </w:p>
    <w:bookmarkEnd w:id="17"/>
    <w:bookmarkStart w:name="19" w:id="18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До договору позички застосовуються положення </w:t>
      </w:r>
      <w:r>
        <w:rPr>
          <w:rFonts w:ascii="Arial" w:hAnsi="Arial"/>
          <w:b w:val="false"/>
          <w:i w:val="false"/>
          <w:color w:val="293a55"/>
          <w:sz w:val="24"/>
        </w:rPr>
        <w:t>глави 58 ЦКУ</w:t>
      </w:r>
      <w:r>
        <w:rPr>
          <w:rFonts w:ascii="Arial" w:hAnsi="Arial"/>
          <w:b w:val="false"/>
          <w:i w:val="false"/>
          <w:color w:val="000000"/>
          <w:sz w:val="24"/>
        </w:rPr>
        <w:t>, якою визначено загальні положення про найм (оренду).</w:t>
      </w:r>
    </w:p>
    <w:bookmarkEnd w:id="18"/>
    <w:bookmarkStart w:name="20" w:id="19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Правові основи оподаткування ПДВ встановлено </w:t>
      </w:r>
      <w:r>
        <w:rPr>
          <w:rFonts w:ascii="Arial" w:hAnsi="Arial"/>
          <w:b w:val="false"/>
          <w:i w:val="false"/>
          <w:color w:val="293a55"/>
          <w:sz w:val="24"/>
        </w:rPr>
        <w:t>розділом V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та </w:t>
      </w:r>
      <w:r>
        <w:rPr>
          <w:rFonts w:ascii="Arial" w:hAnsi="Arial"/>
          <w:b w:val="false"/>
          <w:i w:val="false"/>
          <w:color w:val="293a55"/>
          <w:sz w:val="24"/>
        </w:rPr>
        <w:t>підрозділом 2 розділу XX Кодексу</w:t>
      </w:r>
      <w:r>
        <w:rPr>
          <w:rFonts w:ascii="Arial" w:hAnsi="Arial"/>
          <w:b w:val="false"/>
          <w:i w:val="false"/>
          <w:color w:val="000000"/>
          <w:sz w:val="24"/>
        </w:rPr>
        <w:t>.</w:t>
      </w:r>
    </w:p>
    <w:bookmarkEnd w:id="19"/>
    <w:bookmarkStart w:name="21" w:id="20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Згідно з </w:t>
      </w:r>
      <w:r>
        <w:rPr>
          <w:rFonts w:ascii="Arial" w:hAnsi="Arial"/>
          <w:b w:val="false"/>
          <w:i w:val="false"/>
          <w:color w:val="293a55"/>
          <w:sz w:val="24"/>
        </w:rPr>
        <w:t>підпунктами "а"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і </w:t>
      </w:r>
      <w:r>
        <w:rPr>
          <w:rFonts w:ascii="Arial" w:hAnsi="Arial"/>
          <w:b w:val="false"/>
          <w:i w:val="false"/>
          <w:color w:val="293a55"/>
          <w:sz w:val="24"/>
        </w:rPr>
        <w:t>"б" пункту 185.1 статті 185 розділу V Кодексу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об'єктом оподаткування ПДВ є операції платників податку з постачання товарів/послуг, місце постачання яких відповідно до </w:t>
      </w:r>
      <w:r>
        <w:rPr>
          <w:rFonts w:ascii="Arial" w:hAnsi="Arial"/>
          <w:b w:val="false"/>
          <w:i w:val="false"/>
          <w:color w:val="293a55"/>
          <w:sz w:val="24"/>
        </w:rPr>
        <w:t>статті 186 розділу V ПКУ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розташоване на митній території України, у тому числі операції з безоплатної передачі.</w:t>
      </w:r>
    </w:p>
    <w:bookmarkEnd w:id="20"/>
    <w:bookmarkStart w:name="22" w:id="21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>Під постачанням послуг розуміється будь-яка операція, що не є постачанням товарів, чи інша операція з передачі права на об'єкти права інтелектуальної власності та інші нематеріальні активи чи надання інших майнових прав стосовно таких об'єктів права інтелектуальної власності, а також надання послуг, що споживаються в процесі вчинення певної дії або провадження певної діяльності (</w:t>
      </w:r>
      <w:r>
        <w:rPr>
          <w:rFonts w:ascii="Arial" w:hAnsi="Arial"/>
          <w:b w:val="false"/>
          <w:i w:val="false"/>
          <w:color w:val="293a55"/>
          <w:sz w:val="24"/>
        </w:rPr>
        <w:t>підпункт 14.1.185 пункту 14.1 статті 14 розділу I Кодексу</w:t>
      </w:r>
      <w:r>
        <w:rPr>
          <w:rFonts w:ascii="Arial" w:hAnsi="Arial"/>
          <w:b w:val="false"/>
          <w:i w:val="false"/>
          <w:color w:val="000000"/>
          <w:sz w:val="24"/>
        </w:rPr>
        <w:t>).</w:t>
      </w:r>
    </w:p>
    <w:bookmarkEnd w:id="21"/>
    <w:bookmarkStart w:name="23" w:id="22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Відповідно до </w:t>
      </w:r>
      <w:r>
        <w:rPr>
          <w:rFonts w:ascii="Arial" w:hAnsi="Arial"/>
          <w:b w:val="false"/>
          <w:i w:val="false"/>
          <w:color w:val="293a55"/>
          <w:sz w:val="24"/>
        </w:rPr>
        <w:t>підпункту "в" підпункту 14.1.185 пункту 14.1 статті 14 розділу I Кодексу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під постачанням послуг також розуміється постачання послуг іншій особі на безоплатній основі.</w:t>
      </w:r>
    </w:p>
    <w:bookmarkEnd w:id="22"/>
    <w:bookmarkStart w:name="24" w:id="23"/>
    <w:p>
      <w:pPr>
        <w:spacing w:after="75"/>
        <w:ind w:firstLine="240"/>
        <w:jc w:val="both"/>
      </w:pPr>
      <w:r>
        <w:rPr>
          <w:rFonts w:ascii="Arial" w:hAnsi="Arial"/>
          <w:b/>
          <w:i w:val="false"/>
          <w:color w:val="000000"/>
          <w:sz w:val="24"/>
        </w:rPr>
        <w:t>Щодо питання 1</w:t>
      </w:r>
    </w:p>
    <w:bookmarkEnd w:id="23"/>
    <w:bookmarkStart w:name="25" w:id="24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Операція з безоплатної передачі майна за договором позички у строкове користування без переходу права власності на нього не є об'єктом оподаткування у розумінні </w:t>
      </w:r>
      <w:r>
        <w:rPr>
          <w:rFonts w:ascii="Arial" w:hAnsi="Arial"/>
          <w:b w:val="false"/>
          <w:i w:val="false"/>
          <w:color w:val="293a55"/>
          <w:sz w:val="24"/>
        </w:rPr>
        <w:t>пункту 185.1 статті 185 розділу V Кодексу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, оскільки така операція не відповідає визначенню операцій з постачання товарів/послуг, наданому </w:t>
      </w:r>
      <w:r>
        <w:rPr>
          <w:rFonts w:ascii="Arial" w:hAnsi="Arial"/>
          <w:b w:val="false"/>
          <w:i w:val="false"/>
          <w:color w:val="293a55"/>
          <w:sz w:val="24"/>
        </w:rPr>
        <w:t>підпунктами 14.1.185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та </w:t>
      </w:r>
      <w:r>
        <w:rPr>
          <w:rFonts w:ascii="Arial" w:hAnsi="Arial"/>
          <w:b w:val="false"/>
          <w:i w:val="false"/>
          <w:color w:val="293a55"/>
          <w:sz w:val="24"/>
        </w:rPr>
        <w:t>14.1.191 пункту 14.1 статті 14 розділу I Кодексу</w:t>
      </w:r>
      <w:r>
        <w:rPr>
          <w:rFonts w:ascii="Arial" w:hAnsi="Arial"/>
          <w:b w:val="false"/>
          <w:i w:val="false"/>
          <w:color w:val="000000"/>
          <w:sz w:val="24"/>
        </w:rPr>
        <w:t>.</w:t>
      </w:r>
    </w:p>
    <w:bookmarkEnd w:id="24"/>
    <w:bookmarkStart w:name="26" w:id="25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В той же час операція платника податку з надання позички, в тому числі на безоплатній основі, є послугою, отже, об'єктом оподаткування ПДВ та оподатковується ПДВ за ставкою 20 відсотків виходячи з бази оподаткування, визначеної відповідно до </w:t>
      </w:r>
      <w:r>
        <w:rPr>
          <w:rFonts w:ascii="Arial" w:hAnsi="Arial"/>
          <w:b w:val="false"/>
          <w:i w:val="false"/>
          <w:color w:val="293a55"/>
          <w:sz w:val="24"/>
        </w:rPr>
        <w:t>пункту 188.1 статті 188 розділу V Кодексу</w:t>
      </w:r>
      <w:r>
        <w:rPr>
          <w:rFonts w:ascii="Arial" w:hAnsi="Arial"/>
          <w:b w:val="false"/>
          <w:i w:val="false"/>
          <w:color w:val="000000"/>
          <w:sz w:val="24"/>
        </w:rPr>
        <w:t>.</w:t>
      </w:r>
    </w:p>
    <w:bookmarkEnd w:id="25"/>
    <w:bookmarkStart w:name="27" w:id="26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>З метою оподаткування для платника податку - користувача операція з отримання майна у безоплатне користування за договором позички розглядається як безоплатне отримання послуг.</w:t>
      </w:r>
    </w:p>
    <w:bookmarkEnd w:id="26"/>
    <w:bookmarkStart w:name="28" w:id="27"/>
    <w:p>
      <w:pPr>
        <w:spacing w:after="75"/>
        <w:ind w:firstLine="240"/>
        <w:jc w:val="both"/>
      </w:pPr>
      <w:r>
        <w:rPr>
          <w:rFonts w:ascii="Arial" w:hAnsi="Arial"/>
          <w:b/>
          <w:i w:val="false"/>
          <w:color w:val="000000"/>
          <w:sz w:val="24"/>
        </w:rPr>
        <w:t>Щодо питання 2</w:t>
      </w:r>
    </w:p>
    <w:bookmarkEnd w:id="27"/>
    <w:bookmarkStart w:name="29" w:id="28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Враховуючи, що об'єктом оподаткування ПДВ є операції платників податку з постачання товарів/послуг, необоротних активів,а не їх придбання, отримання Товариством у безоплатне тимчасове користування офісного приміщення шляхом укладання договору позички з фізичною особою, не є об'єктом оподаткування у розумінні </w:t>
      </w:r>
      <w:r>
        <w:rPr>
          <w:rFonts w:ascii="Arial" w:hAnsi="Arial"/>
          <w:b w:val="false"/>
          <w:i w:val="false"/>
          <w:color w:val="293a55"/>
          <w:sz w:val="24"/>
        </w:rPr>
        <w:t>пункту 185.1 статті 185 розділу V Кодексу</w:t>
      </w:r>
      <w:r>
        <w:rPr>
          <w:rFonts w:ascii="Arial" w:hAnsi="Arial"/>
          <w:b w:val="false"/>
          <w:i w:val="false"/>
          <w:color w:val="000000"/>
          <w:sz w:val="24"/>
        </w:rPr>
        <w:t>.</w:t>
      </w:r>
    </w:p>
    <w:bookmarkEnd w:id="28"/>
    <w:bookmarkStart w:name="30" w:id="29"/>
    <w:p>
      <w:pPr>
        <w:spacing w:after="75"/>
        <w:ind w:firstLine="240"/>
        <w:jc w:val="both"/>
      </w:pPr>
      <w:r>
        <w:rPr>
          <w:rFonts w:ascii="Arial" w:hAnsi="Arial"/>
          <w:b/>
          <w:i w:val="false"/>
          <w:color w:val="000000"/>
          <w:sz w:val="24"/>
        </w:rPr>
        <w:t>Щодо питання 3</w:t>
      </w:r>
    </w:p>
    <w:bookmarkEnd w:id="29"/>
    <w:bookmarkStart w:name="31" w:id="30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Відповідно до </w:t>
      </w:r>
      <w:r>
        <w:rPr>
          <w:rFonts w:ascii="Arial" w:hAnsi="Arial"/>
          <w:b w:val="false"/>
          <w:i w:val="false"/>
          <w:color w:val="293a55"/>
          <w:sz w:val="24"/>
        </w:rPr>
        <w:t>підпункту 2 пункту 292.1 статті 292 розділу XIV Кодексу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для юридичної особи - платника єдиного податку третьої групи доходом є будь-який дохід, включаючи дохід представництв, філій, відділень такої юридичної особи, отриманий протягом податкового (звітного) періоду в грошовій формі (готівковій та/або безготівковій); матеріальній або нематеріальній формі, визначеній </w:t>
      </w:r>
      <w:r>
        <w:rPr>
          <w:rFonts w:ascii="Arial" w:hAnsi="Arial"/>
          <w:b w:val="false"/>
          <w:i w:val="false"/>
          <w:color w:val="293a55"/>
          <w:sz w:val="24"/>
        </w:rPr>
        <w:t>пунктом 292.3 статті 292 Кодексу</w:t>
      </w:r>
      <w:r>
        <w:rPr>
          <w:rFonts w:ascii="Arial" w:hAnsi="Arial"/>
          <w:b w:val="false"/>
          <w:i w:val="false"/>
          <w:color w:val="000000"/>
          <w:sz w:val="24"/>
        </w:rPr>
        <w:t>.</w:t>
      </w:r>
    </w:p>
    <w:bookmarkEnd w:id="30"/>
    <w:bookmarkStart w:name="32" w:id="31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Зокрема, згідно з </w:t>
      </w:r>
      <w:r>
        <w:rPr>
          <w:rFonts w:ascii="Arial" w:hAnsi="Arial"/>
          <w:b w:val="false"/>
          <w:i w:val="false"/>
          <w:color w:val="293a55"/>
          <w:sz w:val="24"/>
        </w:rPr>
        <w:t>пунктом 292.3 статті 292 розділу XIV Кодексу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до суми доходу платника єдиного податку включається вартість безоплатно отриманих протягом звітного періоду товарів (робіт, послуг).</w:t>
      </w:r>
    </w:p>
    <w:bookmarkEnd w:id="31"/>
    <w:bookmarkStart w:name="33" w:id="32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>Безоплатно отриманими вважаються товари (роботи, послуги), надані платнику єдиного податку згідно з письмовими договорами дарування та іншими письмовими договорами, укладеними згідно із законодавством, за якими не передбачено грошової або іншої компенсації вартості таких товарів (робіт, послуг) чи їх повернення, а також товари, передані платнику єдиного податку на відповідальне зберігання і використані таким платником єдиного податку.</w:t>
      </w:r>
    </w:p>
    <w:bookmarkEnd w:id="32"/>
    <w:bookmarkStart w:name="34" w:id="33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>Датою отримання доходу платника єдиного податку у разі безоплатного отримання товарів/послуг є дата підписання платником єдиного податку акта приймання-передачі безоплатно отриманих товарів (</w:t>
      </w:r>
      <w:r>
        <w:rPr>
          <w:rFonts w:ascii="Arial" w:hAnsi="Arial"/>
          <w:b w:val="false"/>
          <w:i w:val="false"/>
          <w:color w:val="293a55"/>
          <w:sz w:val="24"/>
        </w:rPr>
        <w:t>пункт 292.6 статті 292 розділу XIV Кодексу</w:t>
      </w:r>
      <w:r>
        <w:rPr>
          <w:rFonts w:ascii="Arial" w:hAnsi="Arial"/>
          <w:b w:val="false"/>
          <w:i w:val="false"/>
          <w:color w:val="000000"/>
          <w:sz w:val="24"/>
        </w:rPr>
        <w:t>).</w:t>
      </w:r>
    </w:p>
    <w:bookmarkEnd w:id="33"/>
    <w:bookmarkStart w:name="35" w:id="34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>З огляду на вищевикладене при отриманні майна у безоплатне користування за договором позички до суми доходу платника єдиного податку включається вартість безоплатно отриманих протягом звітного періоду послуг з урахуванням звичайних цін.</w:t>
      </w:r>
    </w:p>
    <w:bookmarkEnd w:id="34"/>
    <w:bookmarkStart w:name="36" w:id="35"/>
    <w:p>
      <w:pPr>
        <w:spacing w:after="75"/>
        <w:ind w:firstLine="240"/>
        <w:jc w:val="both"/>
      </w:pPr>
      <w:r>
        <w:rPr>
          <w:rFonts w:ascii="Arial" w:hAnsi="Arial"/>
          <w:b/>
          <w:i w:val="false"/>
          <w:color w:val="000000"/>
          <w:sz w:val="24"/>
        </w:rPr>
        <w:t>Щодо питання 4</w:t>
      </w:r>
    </w:p>
    <w:bookmarkEnd w:id="35"/>
    <w:bookmarkStart w:name="37" w:id="36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Відповідно до </w:t>
      </w:r>
      <w:r>
        <w:rPr>
          <w:rFonts w:ascii="Arial" w:hAnsi="Arial"/>
          <w:b w:val="false"/>
          <w:i w:val="false"/>
          <w:color w:val="293a55"/>
          <w:sz w:val="24"/>
        </w:rPr>
        <w:t>підпункту 14.1.71 пункту 14.1 розділу I Кодексу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звичайна ціна - ціна товарів (робіт, послуг), визначена сторонами договору, якщо інше не встановлено цим </w:t>
      </w:r>
      <w:r>
        <w:rPr>
          <w:rFonts w:ascii="Arial" w:hAnsi="Arial"/>
          <w:b w:val="false"/>
          <w:i w:val="false"/>
          <w:color w:val="293a55"/>
          <w:sz w:val="24"/>
        </w:rPr>
        <w:t>Кодексом</w:t>
      </w:r>
      <w:r>
        <w:rPr>
          <w:rFonts w:ascii="Arial" w:hAnsi="Arial"/>
          <w:b w:val="false"/>
          <w:i w:val="false"/>
          <w:color w:val="000000"/>
          <w:sz w:val="24"/>
        </w:rPr>
        <w:t>. Якщо не доведено зворотне, вважається, що така звичайна ціна відповідає рівню ринкових цін.</w:t>
      </w:r>
    </w:p>
    <w:bookmarkEnd w:id="36"/>
    <w:bookmarkStart w:name="38" w:id="37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>Ринкова ціна - ціна, за якою товари (роботи, послуги) передаються іншому власнику за умови, що продавець бажає передати такі товари (роботи, послуги), а покупець бажає їх отримати на добровільній основі. Обидві сторони є взаємно незалежними юридично та фактично, володіють достатньою інформацією про такі товари (роботи, послуги), а також ціни, які склалися на ринку ідентичних (а за їх відсутності - однорідних) товарів (робіт, послуг) у порівняних економічних (комерційних) умовах (</w:t>
      </w:r>
      <w:r>
        <w:rPr>
          <w:rFonts w:ascii="Arial" w:hAnsi="Arial"/>
          <w:b w:val="false"/>
          <w:i w:val="false"/>
          <w:color w:val="293a55"/>
          <w:sz w:val="24"/>
        </w:rPr>
        <w:t>підпункту 14.1.219 пункту 14.1 розділу I Кодексу</w:t>
      </w:r>
      <w:r>
        <w:rPr>
          <w:rFonts w:ascii="Arial" w:hAnsi="Arial"/>
          <w:b w:val="false"/>
          <w:i w:val="false"/>
          <w:color w:val="000000"/>
          <w:sz w:val="24"/>
        </w:rPr>
        <w:t>).</w:t>
      </w:r>
    </w:p>
    <w:bookmarkEnd w:id="37"/>
    <w:bookmarkStart w:name="39" w:id="38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>Отже, при обчисленні об'єкта оподаткування при залученні у безоплатне користування офісного приміщення від фізичної особи звичайна ціна визначається на рівні ринкової, яка склалася на ринку ідентичних товарів (робіт, послуг) у порівняних економічних умовах.</w:t>
      </w:r>
    </w:p>
    <w:bookmarkEnd w:id="38"/>
    <w:bookmarkStart w:name="40" w:id="39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>Індивідуальна податкова консультація має індивідуальний характер і може використовуватися виключно платником податків, якому надано таку консультацію (</w:t>
      </w:r>
      <w:r>
        <w:rPr>
          <w:rFonts w:ascii="Arial" w:hAnsi="Arial"/>
          <w:b w:val="false"/>
          <w:i w:val="false"/>
          <w:color w:val="293a55"/>
          <w:sz w:val="24"/>
        </w:rPr>
        <w:t>пункт 52.2 статті 52 розділу II Кодексу</w:t>
      </w:r>
      <w:r>
        <w:rPr>
          <w:rFonts w:ascii="Arial" w:hAnsi="Arial"/>
          <w:b w:val="false"/>
          <w:i w:val="false"/>
          <w:color w:val="000000"/>
          <w:sz w:val="24"/>
        </w:rPr>
        <w:t>).</w:t>
      </w:r>
    </w:p>
    <w:bookmarkEnd w:id="39"/>
    <w:bookmarkStart w:name="41" w:id="40"/>
    <w:p>
      <w:pPr>
        <w:spacing w:after="75"/>
        <w:ind w:left="0"/>
        <w:jc w:val="center"/>
      </w:pPr>
      <w:r>
        <w:rPr>
          <w:rFonts w:ascii="Arial" w:hAnsi="Arial"/>
          <w:b w:val="false"/>
          <w:i w:val="false"/>
          <w:color w:val="000000"/>
          <w:sz w:val="24"/>
        </w:rPr>
        <w:t>____________</w:t>
      </w:r>
    </w:p>
    <w:bookmarkEnd w:id="40"/>
    <w:bookmarkStart w:name="42" w:id="41"/>
    <w:p>
      <w:pPr>
        <w:spacing w:after="75"/>
        <w:ind w:firstLine="240"/>
        <w:jc w:val="both"/>
      </w:pPr>
    </w:p>
    <w:bookmarkEnd w:id="41"/>
    <w:tbl>
      <w:tblPr>
        <w:tblW w:w="0" w:type="auto"/>
        <w:tblCellSpacing w:w="0" w:type="auto"/>
        <w:tblBorders>
          <w:top w:val="single" w:color="e5e2ff" w:sz="8"/>
          <w:left w:val="none"/>
          <w:bottom w:val="none"/>
          <w:right w:val="none"/>
          <w:insideH w:val="none"/>
          <w:insideV w:val="none"/>
        </w:tblBorders>
      </w:tblPr>
      <w:tblGrid>
        <w:gridCol w:w="8721"/>
        <w:gridCol w:w="969"/>
      </w:tblGrid>
      <w:tr>
        <w:trPr>
          <w:trHeight w:val="195" w:hRule="atLeast"/>
        </w:trPr>
        <w:tc>
          <w:tcPr>
            <w:tcW w:w="8721" w:type="dxa"/>
            <w:tcBorders/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18"/>
              </w:rPr>
              <w:t>© ТОВ "Інформаційно-аналітичний центр "ЛІГА", 2025</w:t>
            </w:r>
            <w:r>
              <w:br/>
            </w:r>
            <w:r>
              <w:rPr>
                <w:rFonts w:ascii="Arial" w:hAnsi="Arial"/>
                <w:b w:val="false"/>
                <w:i w:val="false"/>
                <w:color w:val="000000"/>
                <w:sz w:val="18"/>
              </w:rPr>
              <w:t>© ТОВ "ЛІГА ЗАКОН", 2025</w:t>
            </w:r>
          </w:p>
        </w:tc>
        <w:tc>
          <w:tcPr>
            <w:tcW w:w="969" w:type="dxa"/>
            <w:tcBorders/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uk-UA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3.3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</dc:creator>
  <cp:lastModifiedBy>docx4j</cp:lastModifiedBy>
</cp:coreProperties>
</file>