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C78" w:rsidRPr="00704D85" w:rsidRDefault="00704D85" w:rsidP="00704D85">
      <w:pPr>
        <w:pStyle w:val="1"/>
      </w:pPr>
      <w:r w:rsidRPr="00704D85">
        <w:t>Державна податкова служба України</w:t>
      </w:r>
    </w:p>
    <w:p w:rsidR="00B34C78" w:rsidRPr="00704D85" w:rsidRDefault="00B34C78" w:rsidP="00704D85">
      <w:pPr>
        <w:pStyle w:val="1"/>
      </w:pPr>
      <w:r w:rsidRPr="00704D85">
        <w:t xml:space="preserve">ІПК від 01.05.2026 р. №2524/ІПК/99-00-24-03-02 </w:t>
      </w:r>
    </w:p>
    <w:p w:rsidR="00B34C78" w:rsidRPr="00704D85" w:rsidRDefault="00B34C78" w:rsidP="00B34C78">
      <w:pPr>
        <w:spacing w:after="0" w:line="240" w:lineRule="auto"/>
        <w:ind w:firstLine="709"/>
        <w:jc w:val="both"/>
        <w:rPr>
          <w:rFonts w:ascii="Times New Roman" w:hAnsi="Times New Roman" w:cs="Times New Roman"/>
          <w:sz w:val="24"/>
          <w:szCs w:val="24"/>
          <w:lang w:val="uk-UA"/>
        </w:rPr>
      </w:pPr>
    </w:p>
    <w:p w:rsidR="00B34C78" w:rsidRPr="00704D85" w:rsidRDefault="00B34C78" w:rsidP="00B34C78">
      <w:pPr>
        <w:spacing w:after="0" w:line="240" w:lineRule="auto"/>
        <w:ind w:firstLine="709"/>
        <w:jc w:val="both"/>
        <w:rPr>
          <w:rFonts w:ascii="Times New Roman" w:hAnsi="Times New Roman" w:cs="Times New Roman"/>
          <w:sz w:val="24"/>
          <w:szCs w:val="24"/>
          <w:lang w:val="uk-UA"/>
        </w:rPr>
      </w:pPr>
    </w:p>
    <w:p w:rsidR="00B34C78" w:rsidRPr="00704D85" w:rsidRDefault="00B34C78" w:rsidP="00704D85">
      <w:pPr>
        <w:spacing w:after="0" w:line="240" w:lineRule="auto"/>
        <w:ind w:firstLine="709"/>
        <w:jc w:val="both"/>
        <w:rPr>
          <w:rFonts w:ascii="Times New Roman" w:hAnsi="Times New Roman" w:cs="Times New Roman"/>
          <w:sz w:val="24"/>
          <w:szCs w:val="24"/>
          <w:lang w:val="uk-UA"/>
        </w:rPr>
      </w:pPr>
      <w:bookmarkStart w:id="0" w:name="_GoBack"/>
      <w:bookmarkEnd w:id="0"/>
    </w:p>
    <w:p w:rsidR="00704D85" w:rsidRPr="00704D85" w:rsidRDefault="00704D85" w:rsidP="00704D85">
      <w:pPr>
        <w:pStyle w:val="a4"/>
        <w:spacing w:after="0"/>
        <w:ind w:left="0" w:firstLine="709"/>
        <w:jc w:val="both"/>
        <w:rPr>
          <w:sz w:val="24"/>
          <w:lang w:val="uk-UA"/>
        </w:rPr>
      </w:pPr>
      <w:r w:rsidRPr="00704D85">
        <w:rPr>
          <w:rFonts w:eastAsiaTheme="minorHAnsi"/>
          <w:spacing w:val="-3"/>
          <w:sz w:val="24"/>
          <w:lang w:val="uk-UA" w:eastAsia="en-US"/>
        </w:rPr>
        <w:t xml:space="preserve">Державна податкова служба України, керуючись ст. 52 Податкового кодексу України (далі – Кодекс), розглянула звернення </w:t>
      </w:r>
      <w:r w:rsidRPr="00704D85">
        <w:rPr>
          <w:rFonts w:eastAsia="MingLiU"/>
          <w:bCs/>
          <w:noProof/>
          <w:kern w:val="32"/>
          <w:sz w:val="24"/>
          <w:lang w:val="uk-UA" w:eastAsia="ar-SA"/>
        </w:rPr>
        <w:t xml:space="preserve">(   </w:t>
      </w:r>
      <w:r w:rsidRPr="00704D85">
        <w:rPr>
          <w:sz w:val="24"/>
          <w:lang w:val="uk-UA" w:eastAsia="ar-SA"/>
        </w:rPr>
        <w:t>)</w:t>
      </w:r>
      <w:r w:rsidRPr="00704D85">
        <w:rPr>
          <w:sz w:val="24"/>
          <w:lang w:val="uk-UA"/>
        </w:rPr>
        <w:t xml:space="preserve"> щодо практичного застосування окремих норм податкового законодавства та в межах компетенції повідомляє.</w:t>
      </w:r>
    </w:p>
    <w:p w:rsidR="00704D85" w:rsidRPr="00704D85" w:rsidRDefault="00704D85" w:rsidP="00704D85">
      <w:pPr>
        <w:pStyle w:val="a4"/>
        <w:spacing w:after="0"/>
        <w:ind w:left="0" w:firstLine="709"/>
        <w:jc w:val="both"/>
        <w:rPr>
          <w:sz w:val="24"/>
          <w:lang w:val="uk-UA"/>
        </w:rPr>
      </w:pPr>
      <w:r w:rsidRPr="00704D85">
        <w:rPr>
          <w:sz w:val="24"/>
          <w:lang w:val="uk-UA"/>
        </w:rPr>
        <w:t xml:space="preserve">Товариство у зверненні повідомило, що планує залучати спеціалістів на умовах трудових та гіг-договорів та надавати обладнання, яке належить Товариству на праві власності, на користь своїх спеціалістів (в тому числі гіг-спеціалістів) виключно для виконання такими спеціалістами своїх завдань або надання послуг в межах трудових та гіг-договорів. </w:t>
      </w:r>
    </w:p>
    <w:p w:rsidR="00704D85" w:rsidRPr="00704D85" w:rsidRDefault="00704D85" w:rsidP="00704D85">
      <w:pPr>
        <w:pStyle w:val="a4"/>
        <w:spacing w:after="0"/>
        <w:ind w:left="0" w:firstLine="709"/>
        <w:jc w:val="both"/>
        <w:rPr>
          <w:sz w:val="24"/>
          <w:lang w:val="uk-UA"/>
        </w:rPr>
      </w:pPr>
      <w:r w:rsidRPr="00704D85">
        <w:rPr>
          <w:sz w:val="24"/>
          <w:lang w:val="uk-UA"/>
        </w:rPr>
        <w:t>Товариство просить надати індивідуальну податкову консультацію з питань:</w:t>
      </w:r>
    </w:p>
    <w:p w:rsidR="00704D85" w:rsidRPr="00704D85" w:rsidRDefault="00704D85" w:rsidP="00704D85">
      <w:pPr>
        <w:tabs>
          <w:tab w:val="left" w:pos="13608"/>
          <w:tab w:val="left" w:pos="13750"/>
        </w:tabs>
        <w:ind w:firstLine="709"/>
        <w:jc w:val="both"/>
        <w:rPr>
          <w:rFonts w:ascii="Times New Roman" w:hAnsi="Times New Roman" w:cs="Times New Roman"/>
          <w:sz w:val="24"/>
          <w:szCs w:val="24"/>
          <w:lang w:val="uk-UA"/>
        </w:rPr>
      </w:pPr>
      <w:r w:rsidRPr="00704D85">
        <w:rPr>
          <w:rFonts w:ascii="Times New Roman" w:hAnsi="Times New Roman" w:cs="Times New Roman"/>
          <w:sz w:val="24"/>
          <w:szCs w:val="24"/>
          <w:lang w:val="uk-UA"/>
        </w:rPr>
        <w:t xml:space="preserve">1. Чи виникає у Товариства обов1язки податкового агента в частині нарахування та сплати податку на доходи фізичних осіб та військового збору із суми вартості такого переданого майна на користь гіг-спеціалістів при відсутності персоніфікованого обліку? Якщо відповідь ствердна, то що вважати базою оподаткування? </w:t>
      </w:r>
    </w:p>
    <w:p w:rsidR="00704D85" w:rsidRPr="00704D85" w:rsidRDefault="00704D85" w:rsidP="00704D85">
      <w:pPr>
        <w:tabs>
          <w:tab w:val="left" w:pos="13608"/>
          <w:tab w:val="left" w:pos="13750"/>
        </w:tabs>
        <w:ind w:firstLine="709"/>
        <w:jc w:val="both"/>
        <w:rPr>
          <w:rFonts w:ascii="Times New Roman" w:hAnsi="Times New Roman" w:cs="Times New Roman"/>
          <w:sz w:val="24"/>
          <w:szCs w:val="24"/>
          <w:lang w:val="uk-UA"/>
        </w:rPr>
      </w:pPr>
      <w:r w:rsidRPr="00704D85">
        <w:rPr>
          <w:rFonts w:ascii="Times New Roman" w:hAnsi="Times New Roman" w:cs="Times New Roman"/>
          <w:sz w:val="24"/>
          <w:szCs w:val="24"/>
          <w:lang w:val="uk-UA"/>
        </w:rPr>
        <w:t>2. Чи виникає об’єкт оподаткування відповідно до п.п. 135.2.1.6 п.п. 135.2.1 п. 135.2 ст. 135 Кодексу за наявності персоніфікованого обліку? Якщо відповідь ствердна, то що вважати базою оподаткування?</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 xml:space="preserve">Організаційні, правові та фінансові засади функціонування правового режиму Дія Сіті визначаються  Законом </w:t>
      </w:r>
      <w:r w:rsidRPr="00704D85">
        <w:rPr>
          <w:rFonts w:ascii="Times New Roman" w:eastAsia="Calibri" w:hAnsi="Times New Roman" w:cs="Times New Roman"/>
          <w:sz w:val="24"/>
          <w:szCs w:val="24"/>
          <w:lang w:val="uk-UA"/>
        </w:rPr>
        <w:t xml:space="preserve">України від 15 липня 2021 року </w:t>
      </w:r>
      <w:r w:rsidRPr="00704D85">
        <w:rPr>
          <w:rFonts w:ascii="Times New Roman" w:eastAsia="Calibri" w:hAnsi="Times New Roman" w:cs="Times New Roman"/>
          <w:sz w:val="24"/>
          <w:szCs w:val="24"/>
          <w:lang w:val="uk-UA"/>
        </w:rPr>
        <w:br/>
        <w:t>№ 1667-</w:t>
      </w:r>
      <w:r w:rsidRPr="00704D85">
        <w:rPr>
          <w:rFonts w:ascii="Times New Roman" w:eastAsia="Calibri" w:hAnsi="Times New Roman" w:cs="Times New Roman"/>
          <w:sz w:val="24"/>
          <w:szCs w:val="24"/>
        </w:rPr>
        <w:t>IX</w:t>
      </w:r>
      <w:r w:rsidRPr="00704D85">
        <w:rPr>
          <w:rFonts w:ascii="Times New Roman" w:eastAsia="Calibri" w:hAnsi="Times New Roman" w:cs="Times New Roman"/>
          <w:sz w:val="24"/>
          <w:szCs w:val="24"/>
          <w:lang w:val="uk-UA"/>
        </w:rPr>
        <w:t xml:space="preserve"> «Про стимулювання розвитку цифрової економіки в Україні» </w:t>
      </w:r>
      <w:r w:rsidRPr="00704D85">
        <w:rPr>
          <w:rFonts w:ascii="Times New Roman" w:eastAsia="Calibri" w:hAnsi="Times New Roman" w:cs="Times New Roman"/>
          <w:sz w:val="24"/>
          <w:szCs w:val="24"/>
          <w:lang w:val="uk-UA"/>
        </w:rPr>
        <w:br/>
        <w:t>(далі – Закон № 1667)</w:t>
      </w:r>
      <w:r w:rsidRPr="00704D85">
        <w:rPr>
          <w:rFonts w:ascii="Times New Roman" w:eastAsia="SimSun" w:hAnsi="Times New Roman" w:cs="Times New Roman"/>
          <w:color w:val="000000"/>
          <w:sz w:val="24"/>
          <w:szCs w:val="24"/>
          <w:lang w:val="uk-UA"/>
        </w:rPr>
        <w:t xml:space="preserve">. </w:t>
      </w:r>
    </w:p>
    <w:p w:rsidR="00704D85" w:rsidRPr="00704D85" w:rsidRDefault="00704D85" w:rsidP="00704D85">
      <w:pPr>
        <w:ind w:firstLine="709"/>
        <w:jc w:val="both"/>
        <w:rPr>
          <w:rFonts w:ascii="Times New Roman" w:eastAsia="SimSun" w:hAnsi="Times New Roman" w:cs="Times New Roman"/>
          <w:color w:val="000000"/>
          <w:sz w:val="24"/>
          <w:szCs w:val="24"/>
          <w:lang w:val="uk-UA" w:eastAsia="x-none"/>
        </w:rPr>
      </w:pPr>
      <w:r w:rsidRPr="00704D85">
        <w:rPr>
          <w:rFonts w:ascii="Times New Roman" w:eastAsia="SimSun" w:hAnsi="Times New Roman" w:cs="Times New Roman"/>
          <w:color w:val="000000"/>
          <w:sz w:val="24"/>
          <w:szCs w:val="24"/>
          <w:lang w:val="uk-UA" w:eastAsia="x-none"/>
        </w:rPr>
        <w:t>Резидентом Дія Сіті може бути юридична особа, зареєстрована на території України в установленому законодавством України порядку, незалежно від її місцезнаходження та місця провадження господарської діяльності, яка відповідає всім вимогам, передбаченим частиною першою ст. 5 Закону № 1667.</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 xml:space="preserve">Частиною четвертою ст. 4 Закону № 1667 встановлено, що для провадження господарської діяльності резидент Дія Сіті має право залучати працівників на підставі трудових договорів (контрактів), гіг-спеціалістів </w:t>
      </w:r>
      <w:bookmarkStart w:id="1" w:name="_Hlk182408800"/>
      <w:r w:rsidRPr="00704D85">
        <w:rPr>
          <w:rFonts w:ascii="Times New Roman" w:eastAsia="SimSun" w:hAnsi="Times New Roman" w:cs="Times New Roman"/>
          <w:color w:val="000000"/>
          <w:sz w:val="24"/>
          <w:szCs w:val="24"/>
          <w:lang w:val="uk-UA"/>
        </w:rPr>
        <w:t xml:space="preserve">– </w:t>
      </w:r>
      <w:bookmarkEnd w:id="1"/>
      <w:r w:rsidRPr="00704D85">
        <w:rPr>
          <w:rFonts w:ascii="Times New Roman" w:eastAsia="SimSun" w:hAnsi="Times New Roman" w:cs="Times New Roman"/>
          <w:color w:val="000000"/>
          <w:sz w:val="24"/>
          <w:szCs w:val="24"/>
          <w:lang w:val="uk-UA"/>
        </w:rPr>
        <w:t>на підставі гіг-контрактів відповідно до Закону № 1667, а також підрядників та виконавців, у тому числі фізичних осіб – підприємців, - на підставі інших цивільно-правових чи господарсько-правових договорів у порядку, визначеному законодавством.</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Тобто, правовим режимом Дія Сіті, визначеним Законом № 1667, передбачено декілька форматів відносин із працівниками резидента Дія Сіті.</w:t>
      </w:r>
    </w:p>
    <w:p w:rsidR="00704D85" w:rsidRPr="00704D85" w:rsidRDefault="00704D85" w:rsidP="00704D85">
      <w:pPr>
        <w:tabs>
          <w:tab w:val="left" w:pos="567"/>
        </w:tabs>
        <w:ind w:firstLine="709"/>
        <w:jc w:val="both"/>
        <w:rPr>
          <w:rFonts w:ascii="Times New Roman" w:eastAsia="SimSun" w:hAnsi="Times New Roman" w:cs="Times New Roman"/>
          <w:color w:val="000000"/>
          <w:sz w:val="24"/>
          <w:szCs w:val="24"/>
          <w:lang w:val="uk-UA" w:eastAsia="x-none"/>
        </w:rPr>
      </w:pPr>
      <w:r w:rsidRPr="00704D85">
        <w:rPr>
          <w:rFonts w:ascii="Times New Roman" w:eastAsia="SimSun" w:hAnsi="Times New Roman" w:cs="Times New Roman"/>
          <w:color w:val="000000"/>
          <w:sz w:val="24"/>
          <w:szCs w:val="24"/>
          <w:lang w:val="uk-UA" w:eastAsia="x-none"/>
        </w:rPr>
        <w:t xml:space="preserve">Статтею 1 Закону № 1667 передбачено, що </w:t>
      </w:r>
      <w:r w:rsidRPr="00704D85">
        <w:rPr>
          <w:rFonts w:ascii="Times New Roman" w:eastAsia="SimSun" w:hAnsi="Times New Roman" w:cs="Times New Roman"/>
          <w:bCs/>
          <w:color w:val="000000"/>
          <w:kern w:val="32"/>
          <w:sz w:val="24"/>
          <w:szCs w:val="24"/>
          <w:lang w:val="uk-UA" w:eastAsia="x-none"/>
        </w:rPr>
        <w:t xml:space="preserve">гіг-контракт – цивільно-правовий договір, за яким гіг-спеціаліст зобов’язується виконувати роботи та/або надавати послуги відповідно до завдань резидента Дія Сіті як замовника, а резидент Дія Сіті зобов’язується оплачувати виконані роботи та/або надані послуги і забезпечувати гіг-спеціалісту належні умови для виконання робіт та/або надання послуг, а також соціальні гарантії, передбачені </w:t>
      </w:r>
      <w:r w:rsidRPr="00704D85">
        <w:rPr>
          <w:rFonts w:ascii="Times New Roman" w:eastAsia="SimSun" w:hAnsi="Times New Roman" w:cs="Times New Roman"/>
          <w:bCs/>
          <w:color w:val="000000"/>
          <w:kern w:val="32"/>
          <w:sz w:val="24"/>
          <w:szCs w:val="24"/>
          <w:lang w:val="uk-UA" w:eastAsia="x-none"/>
        </w:rPr>
        <w:lastRenderedPageBreak/>
        <w:t xml:space="preserve">розділом V Закону № 1667. При цьому </w:t>
      </w:r>
      <w:r w:rsidRPr="00704D85">
        <w:rPr>
          <w:rFonts w:ascii="Times New Roman" w:eastAsia="SimSun" w:hAnsi="Times New Roman" w:cs="Times New Roman"/>
          <w:color w:val="000000"/>
          <w:sz w:val="24"/>
          <w:szCs w:val="24"/>
          <w:lang w:val="uk-UA" w:eastAsia="x-none"/>
        </w:rPr>
        <w:t>гіг-спеціалістом є фізична особа, яка за гіг-контрактом є підрядником та/або виконавцем.</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Відповідно до ст. 16 Закону № 1667 при наймі працівника резидент Дія Сіті може укладати з ним контракт як особливу форму трудового договору, спрямовану на забезпечення умов для ініціативності та самостійності працівника з урахуванням його індивідуальних здібностей і професійних навичок, підвищення взаємної відповідальності сторін.</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Особливості укладання гіг-контракту резидентом Дія Сіті із гіг-спеціалістом та виплати винагороди за виконані протягом місяця роботи (надані послуги) гіг-спеціалісту за цим гіг-контрактом визначено ст.ст. 17-19 Закону        № 1667.</w:t>
      </w:r>
    </w:p>
    <w:p w:rsidR="00704D85" w:rsidRPr="00704D85" w:rsidRDefault="00704D85" w:rsidP="00704D85">
      <w:pPr>
        <w:shd w:val="clear" w:color="auto" w:fill="FFFFFF"/>
        <w:ind w:firstLine="709"/>
        <w:jc w:val="both"/>
        <w:rPr>
          <w:rFonts w:ascii="Times New Roman" w:hAnsi="Times New Roman" w:cs="Times New Roman"/>
          <w:color w:val="000000"/>
          <w:sz w:val="24"/>
          <w:szCs w:val="24"/>
          <w:lang w:val="uk-UA"/>
        </w:rPr>
      </w:pPr>
      <w:r w:rsidRPr="00704D85">
        <w:rPr>
          <w:rFonts w:ascii="Times New Roman" w:hAnsi="Times New Roman" w:cs="Times New Roman"/>
          <w:color w:val="000000"/>
          <w:sz w:val="24"/>
          <w:szCs w:val="24"/>
          <w:lang w:val="uk-UA"/>
        </w:rPr>
        <w:t>Так, відповідно до п. 1 ст. 19 Закону № 1667 за виконані протягом місяця роботи (надані послуги) гіг-спеціалісту виплачується винагорода у розмірі, порядку та строки, визначені сторонами в гіг-контракті з урахуванням положень Закону № 1667. Розмір винагороди за гіг-контрактом може встановлюватися за період або розраховуватися залежно від обсягу виконаних робіт (наданих послуг) чи кількості часу, витраченого на їх виконання (надання).</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 xml:space="preserve">Водночас, частиною четвертої ст. 3 Кодексу законів про працю України (далі - КЗпП) передбачено, що дія КЗпП та законодавства про працю не поширюється на відносини між гіг-спеціалістами та резидентами Дія Сіті, визначені Законом № 1667. </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 xml:space="preserve">Тобто гіг-контракт має особливу правову природу: цивільний договір з елементами трудових відносин та укладання і виконання гіг-контрактів, при цьому не регулюється трудовим законодавством. </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Також, ст. 20 Закону № 1667 встановлено порядок виконання робіт (надання послуг) гіг-спеціалістом. Так, відповідно до частини шостої ст. 20 Закону № 1667 резидент Дія Сіті забезпечує гіг-спеціаліста обладнанням та іншими засобами, необхідними для виконання робіт (надання послуг), якщо інше не передбачено гіг-контрактом. У разі використання гіг-спеціалістом особистого обладнання для виконання робіт (надання послуг) гіг-контрактом можуть передбачатися відповідні компенсаційні виплати.</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 xml:space="preserve">Згідно з п.п. 14.1.283 п. 14.1 ст. 14 Кодексу спеціалісти резидента Дія Сіті – це гіг-спеціалісти, що виконують роботу (надають послуги) на замовлення та на користь (в інтересах) резидента Дія Сіті на підставі гіг-контракту, укладеного в порядку, передбаченому Законом № 1667, та/або особи, які перебувають із резидентом Дія Сіті у трудових відносинах. </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Щодо першого питання</w:t>
      </w:r>
    </w:p>
    <w:p w:rsidR="00704D85" w:rsidRPr="00704D85" w:rsidRDefault="00704D85" w:rsidP="00704D85">
      <w:pPr>
        <w:widowControl w:val="0"/>
        <w:autoSpaceDE w:val="0"/>
        <w:autoSpaceDN w:val="0"/>
        <w:ind w:firstLine="709"/>
        <w:jc w:val="both"/>
        <w:rPr>
          <w:rFonts w:ascii="Times New Roman" w:eastAsia="SimSun" w:hAnsi="Times New Roman" w:cs="Times New Roman"/>
          <w:b/>
          <w:color w:val="000000"/>
          <w:sz w:val="24"/>
          <w:szCs w:val="24"/>
          <w:lang w:val="uk-UA"/>
        </w:rPr>
      </w:pPr>
      <w:r w:rsidRPr="00704D85">
        <w:rPr>
          <w:rFonts w:ascii="Times New Roman" w:eastAsia="SimSun" w:hAnsi="Times New Roman" w:cs="Times New Roman"/>
          <w:color w:val="000000"/>
          <w:sz w:val="24"/>
          <w:szCs w:val="24"/>
          <w:lang w:val="uk-UA"/>
        </w:rPr>
        <w:t>Оподаткування доходів фізичних осіб регламентується розділом IV Кодексу, відповідно до п. 162.1 ст. 162 якого платником податку є, зокрема, фізична особа – резидент, яка отримує доходи з джерела їх походження в Україні.</w:t>
      </w:r>
    </w:p>
    <w:p w:rsidR="00704D85" w:rsidRPr="00704D85" w:rsidRDefault="00704D85" w:rsidP="00704D85">
      <w:pPr>
        <w:widowControl w:val="0"/>
        <w:autoSpaceDE w:val="0"/>
        <w:autoSpaceDN w:val="0"/>
        <w:ind w:firstLine="709"/>
        <w:jc w:val="both"/>
        <w:rPr>
          <w:rFonts w:ascii="Times New Roman" w:eastAsia="SimSun" w:hAnsi="Times New Roman" w:cs="Times New Roman"/>
          <w:b/>
          <w:color w:val="000000"/>
          <w:sz w:val="24"/>
          <w:szCs w:val="24"/>
          <w:lang w:val="uk-UA"/>
        </w:rPr>
      </w:pPr>
      <w:r w:rsidRPr="00704D85">
        <w:rPr>
          <w:rFonts w:ascii="Times New Roman" w:eastAsia="SimSun" w:hAnsi="Times New Roman" w:cs="Times New Roman"/>
          <w:color w:val="000000"/>
          <w:sz w:val="24"/>
          <w:szCs w:val="24"/>
          <w:lang w:val="uk-UA"/>
        </w:rPr>
        <w:t>Об’єктом оподаткування фізичної особи – резидента є загальний місячний (річний) оподатковуваний дохід (п.п. 163.1.1 п. 163.1 ст. 163 Кодексу).</w:t>
      </w:r>
    </w:p>
    <w:p w:rsidR="00704D85" w:rsidRPr="00704D85" w:rsidRDefault="00704D85" w:rsidP="00704D85">
      <w:pPr>
        <w:widowControl w:val="0"/>
        <w:autoSpaceDE w:val="0"/>
        <w:autoSpaceDN w:val="0"/>
        <w:ind w:firstLine="709"/>
        <w:jc w:val="both"/>
        <w:rPr>
          <w:rFonts w:ascii="Times New Roman" w:eastAsia="SimSun" w:hAnsi="Times New Roman" w:cs="Times New Roman"/>
          <w:b/>
          <w:color w:val="000000"/>
          <w:sz w:val="24"/>
          <w:szCs w:val="24"/>
          <w:lang w:val="uk-UA"/>
        </w:rPr>
      </w:pPr>
      <w:r w:rsidRPr="00704D85">
        <w:rPr>
          <w:rFonts w:ascii="Times New Roman" w:eastAsia="SimSun" w:hAnsi="Times New Roman" w:cs="Times New Roman"/>
          <w:color w:val="000000"/>
          <w:sz w:val="24"/>
          <w:szCs w:val="24"/>
          <w:lang w:val="uk-UA"/>
        </w:rPr>
        <w:t>Перелік доходів, які включаються до загального місячного (річного) оподатковуваного доходу платника податків визначено п. 164.2 ст. 164 Кодексу.</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 xml:space="preserve">Згідно з п.п. «а» п.п. 164.2.17 п. 164.2 ст. 164 Кодексу до загального місячного </w:t>
      </w:r>
      <w:r w:rsidRPr="00704D85">
        <w:rPr>
          <w:rFonts w:ascii="Times New Roman" w:eastAsia="SimSun" w:hAnsi="Times New Roman" w:cs="Times New Roman"/>
          <w:color w:val="000000"/>
          <w:sz w:val="24"/>
          <w:szCs w:val="24"/>
          <w:lang w:val="uk-UA"/>
        </w:rPr>
        <w:lastRenderedPageBreak/>
        <w:t>(річного) оподатковуваного доходу платника податку включається дохід, отриманий платником податку як додаткове благо (крім випадків, передбачених ст. 165 Кодексу) у вигляді вартості використання житла, інших об’єктів матеріального або нематеріального майна, що належать роботодавцю, наданих платнику податку в безоплатне користування, або компенсації вартості такого використання, крім випадків, коли таке надання зумовлено виконанням платником податку трудової функції відповідно до трудового договору (контракту) чи передбачено нормами колективного договору або відповідно до закону в установлених ними межах.</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Відповідно до п. 167.1 ст. 167 Кодексу ставка податку становить 18 відс. бази оподаткування щодо доходів, нарахованих (виплачених, наданих) платнику (крім випадків, визначених у пп. 167.2–167.5 ст. 167 Кодексу).</w:t>
      </w:r>
    </w:p>
    <w:p w:rsidR="00704D85" w:rsidRPr="00704D85" w:rsidRDefault="00704D85" w:rsidP="00704D85">
      <w:pPr>
        <w:widowControl w:val="0"/>
        <w:ind w:firstLine="709"/>
        <w:jc w:val="both"/>
        <w:rPr>
          <w:rFonts w:ascii="Times New Roman" w:eastAsia="Verdana" w:hAnsi="Times New Roman" w:cs="Times New Roman"/>
          <w:color w:val="000000"/>
          <w:sz w:val="24"/>
          <w:szCs w:val="24"/>
          <w:lang w:val="uk-UA" w:eastAsia="uk-UA"/>
        </w:rPr>
      </w:pPr>
      <w:r w:rsidRPr="00704D85">
        <w:rPr>
          <w:rFonts w:ascii="Times New Roman" w:hAnsi="Times New Roman" w:cs="Times New Roman"/>
          <w:color w:val="000000"/>
          <w:sz w:val="24"/>
          <w:szCs w:val="24"/>
          <w:lang w:val="uk-UA" w:eastAsia="uk-UA"/>
        </w:rPr>
        <w:t>Об’єктом оподаткування військовим збором, зокрема, для платників, зазначених у п.п. 1 п.п. 1.1 п. 16</w:t>
      </w:r>
      <w:r w:rsidRPr="00704D85">
        <w:rPr>
          <w:rFonts w:ascii="Times New Roman" w:hAnsi="Times New Roman" w:cs="Times New Roman"/>
          <w:color w:val="000000"/>
          <w:sz w:val="24"/>
          <w:szCs w:val="24"/>
          <w:vertAlign w:val="superscript"/>
          <w:lang w:val="uk-UA" w:eastAsia="uk-UA"/>
        </w:rPr>
        <w:t>1</w:t>
      </w:r>
      <w:r w:rsidRPr="00704D85">
        <w:rPr>
          <w:rFonts w:ascii="Times New Roman" w:hAnsi="Times New Roman" w:cs="Times New Roman"/>
          <w:color w:val="000000"/>
          <w:sz w:val="24"/>
          <w:szCs w:val="24"/>
          <w:lang w:val="uk-UA" w:eastAsia="uk-UA"/>
        </w:rPr>
        <w:t xml:space="preserve"> підрозділу 10 розділу XX «Перехідні положення» </w:t>
      </w:r>
      <w:r w:rsidRPr="00704D85">
        <w:rPr>
          <w:rFonts w:ascii="Times New Roman" w:eastAsia="SimSun" w:hAnsi="Times New Roman" w:cs="Times New Roman"/>
          <w:color w:val="000000"/>
          <w:sz w:val="24"/>
          <w:szCs w:val="24"/>
          <w:lang w:val="uk-UA"/>
        </w:rPr>
        <w:t>Кодексу</w:t>
      </w:r>
      <w:r w:rsidRPr="00704D85">
        <w:rPr>
          <w:rFonts w:ascii="Times New Roman" w:hAnsi="Times New Roman" w:cs="Times New Roman"/>
          <w:color w:val="000000"/>
          <w:sz w:val="24"/>
          <w:szCs w:val="24"/>
          <w:lang w:val="uk-UA" w:eastAsia="uk-UA"/>
        </w:rPr>
        <w:t xml:space="preserve">, є доходи, визначені ст. 163 </w:t>
      </w:r>
      <w:r w:rsidRPr="00704D85">
        <w:rPr>
          <w:rFonts w:ascii="Times New Roman" w:eastAsia="SimSun" w:hAnsi="Times New Roman" w:cs="Times New Roman"/>
          <w:color w:val="000000"/>
          <w:sz w:val="24"/>
          <w:szCs w:val="24"/>
          <w:lang w:val="uk-UA"/>
        </w:rPr>
        <w:t>Кодексу</w:t>
      </w:r>
      <w:r w:rsidRPr="00704D85">
        <w:rPr>
          <w:rFonts w:ascii="Times New Roman" w:hAnsi="Times New Roman" w:cs="Times New Roman"/>
          <w:color w:val="000000"/>
          <w:sz w:val="24"/>
          <w:szCs w:val="24"/>
          <w:lang w:val="uk-UA" w:eastAsia="uk-UA"/>
        </w:rPr>
        <w:t xml:space="preserve"> (п.п. 1 п.п. 1.2 п. 16</w:t>
      </w:r>
      <w:r w:rsidRPr="00704D85">
        <w:rPr>
          <w:rFonts w:ascii="Times New Roman" w:hAnsi="Times New Roman" w:cs="Times New Roman"/>
          <w:color w:val="000000"/>
          <w:sz w:val="24"/>
          <w:szCs w:val="24"/>
          <w:vertAlign w:val="superscript"/>
          <w:lang w:val="uk-UA" w:eastAsia="uk-UA"/>
        </w:rPr>
        <w:t>1</w:t>
      </w:r>
      <w:r w:rsidRPr="00704D85">
        <w:rPr>
          <w:rFonts w:ascii="Times New Roman" w:hAnsi="Times New Roman" w:cs="Times New Roman"/>
          <w:color w:val="000000"/>
          <w:sz w:val="24"/>
          <w:szCs w:val="24"/>
          <w:lang w:val="uk-UA" w:eastAsia="uk-UA"/>
        </w:rPr>
        <w:t xml:space="preserve"> підрозділу 10 розділу XX «Перехідні положення» </w:t>
      </w:r>
      <w:r w:rsidRPr="00704D85">
        <w:rPr>
          <w:rFonts w:ascii="Times New Roman" w:eastAsia="SimSun" w:hAnsi="Times New Roman" w:cs="Times New Roman"/>
          <w:color w:val="000000"/>
          <w:sz w:val="24"/>
          <w:szCs w:val="24"/>
          <w:lang w:val="uk-UA"/>
        </w:rPr>
        <w:t>Кодексу</w:t>
      </w:r>
      <w:r w:rsidRPr="00704D85">
        <w:rPr>
          <w:rFonts w:ascii="Times New Roman" w:eastAsia="Verdana" w:hAnsi="Times New Roman" w:cs="Times New Roman"/>
          <w:color w:val="000000"/>
          <w:sz w:val="24"/>
          <w:szCs w:val="24"/>
          <w:lang w:val="uk-UA" w:eastAsia="uk-UA"/>
        </w:rPr>
        <w:t>).</w:t>
      </w:r>
    </w:p>
    <w:p w:rsidR="00704D85" w:rsidRPr="00704D85" w:rsidRDefault="00704D85" w:rsidP="00704D85">
      <w:pPr>
        <w:widowControl w:val="0"/>
        <w:ind w:firstLine="709"/>
        <w:jc w:val="both"/>
        <w:rPr>
          <w:rFonts w:ascii="Times New Roman" w:hAnsi="Times New Roman" w:cs="Times New Roman"/>
          <w:color w:val="000000"/>
          <w:sz w:val="24"/>
          <w:szCs w:val="24"/>
          <w:lang w:val="uk-UA" w:eastAsia="uk-UA"/>
        </w:rPr>
      </w:pPr>
      <w:r w:rsidRPr="00704D85">
        <w:rPr>
          <w:rFonts w:ascii="Times New Roman" w:hAnsi="Times New Roman" w:cs="Times New Roman"/>
          <w:color w:val="000000"/>
          <w:sz w:val="24"/>
          <w:szCs w:val="24"/>
          <w:lang w:val="uk-UA" w:eastAsia="uk-UA"/>
        </w:rPr>
        <w:t>Ставка військового збору становить, зокрема, для платників, зазначених у п.п. 1 п.п. 1.1 п. 16</w:t>
      </w:r>
      <w:r w:rsidRPr="00704D85">
        <w:rPr>
          <w:rFonts w:ascii="Times New Roman" w:hAnsi="Times New Roman" w:cs="Times New Roman"/>
          <w:color w:val="000000"/>
          <w:sz w:val="24"/>
          <w:szCs w:val="24"/>
          <w:vertAlign w:val="superscript"/>
          <w:lang w:val="uk-UA" w:eastAsia="uk-UA"/>
        </w:rPr>
        <w:t>1</w:t>
      </w:r>
      <w:r w:rsidRPr="00704D85">
        <w:rPr>
          <w:rFonts w:ascii="Times New Roman" w:hAnsi="Times New Roman" w:cs="Times New Roman"/>
          <w:color w:val="000000"/>
          <w:sz w:val="24"/>
          <w:szCs w:val="24"/>
          <w:lang w:val="uk-UA" w:eastAsia="uk-UA"/>
        </w:rPr>
        <w:t xml:space="preserve"> підрозділу 10 розділу XX «Перехідні положення» </w:t>
      </w:r>
      <w:r w:rsidRPr="00704D85">
        <w:rPr>
          <w:rFonts w:ascii="Times New Roman" w:eastAsia="SimSun" w:hAnsi="Times New Roman" w:cs="Times New Roman"/>
          <w:color w:val="000000"/>
          <w:sz w:val="24"/>
          <w:szCs w:val="24"/>
          <w:lang w:val="uk-UA"/>
        </w:rPr>
        <w:t>Кодексу</w:t>
      </w:r>
      <w:r w:rsidRPr="00704D85">
        <w:rPr>
          <w:rFonts w:ascii="Times New Roman" w:hAnsi="Times New Roman" w:cs="Times New Roman"/>
          <w:color w:val="000000"/>
          <w:sz w:val="24"/>
          <w:szCs w:val="24"/>
          <w:lang w:val="uk-UA" w:eastAsia="uk-UA"/>
        </w:rPr>
        <w:t xml:space="preserve">, </w:t>
      </w:r>
      <w:r w:rsidRPr="00704D85">
        <w:rPr>
          <w:rFonts w:ascii="Times New Roman" w:eastAsia="Verdana" w:hAnsi="Times New Roman" w:cs="Times New Roman"/>
          <w:color w:val="000000"/>
          <w:sz w:val="24"/>
          <w:szCs w:val="24"/>
          <w:lang w:val="uk-UA" w:eastAsia="uk-UA"/>
        </w:rPr>
        <w:t>–</w:t>
      </w:r>
      <w:r w:rsidRPr="00704D85">
        <w:rPr>
          <w:rFonts w:ascii="Times New Roman" w:hAnsi="Times New Roman" w:cs="Times New Roman"/>
          <w:color w:val="000000"/>
          <w:sz w:val="24"/>
          <w:szCs w:val="24"/>
          <w:lang w:val="uk-UA" w:eastAsia="uk-UA"/>
        </w:rPr>
        <w:t xml:space="preserve"> 5 відсотків від об’єкта оподаткування, визначеного п.п. 1 п.п. 1.2 п. 16</w:t>
      </w:r>
      <w:r w:rsidRPr="00704D85">
        <w:rPr>
          <w:rFonts w:ascii="Times New Roman" w:hAnsi="Times New Roman" w:cs="Times New Roman"/>
          <w:color w:val="000000"/>
          <w:sz w:val="24"/>
          <w:szCs w:val="24"/>
          <w:vertAlign w:val="superscript"/>
          <w:lang w:val="uk-UA" w:eastAsia="uk-UA"/>
        </w:rPr>
        <w:t>1</w:t>
      </w:r>
      <w:r w:rsidRPr="00704D85">
        <w:rPr>
          <w:rFonts w:ascii="Times New Roman" w:hAnsi="Times New Roman" w:cs="Times New Roman"/>
          <w:color w:val="000000"/>
          <w:sz w:val="24"/>
          <w:szCs w:val="24"/>
          <w:lang w:val="uk-UA" w:eastAsia="uk-UA"/>
        </w:rPr>
        <w:t xml:space="preserve"> </w:t>
      </w:r>
      <w:r w:rsidRPr="00704D85">
        <w:rPr>
          <w:rFonts w:ascii="Times New Roman" w:hAnsi="Times New Roman" w:cs="Times New Roman"/>
          <w:color w:val="000000"/>
          <w:sz w:val="24"/>
          <w:szCs w:val="24"/>
          <w:lang w:val="uk-UA" w:eastAsia="uk-UA"/>
        </w:rPr>
        <w:br/>
        <w:t xml:space="preserve">підрозділу 10 розділу XX «Перехідні положення» </w:t>
      </w:r>
      <w:r w:rsidRPr="00704D85">
        <w:rPr>
          <w:rFonts w:ascii="Times New Roman" w:eastAsia="SimSun" w:hAnsi="Times New Roman" w:cs="Times New Roman"/>
          <w:color w:val="000000"/>
          <w:sz w:val="24"/>
          <w:szCs w:val="24"/>
          <w:lang w:val="uk-UA"/>
        </w:rPr>
        <w:t>Кодексу</w:t>
      </w:r>
      <w:r w:rsidRPr="00704D85">
        <w:rPr>
          <w:rFonts w:ascii="Times New Roman" w:hAnsi="Times New Roman" w:cs="Times New Roman"/>
          <w:color w:val="000000"/>
          <w:sz w:val="24"/>
          <w:szCs w:val="24"/>
          <w:lang w:val="uk-UA" w:eastAsia="uk-UA"/>
        </w:rPr>
        <w:t>,</w:t>
      </w:r>
      <w:r w:rsidRPr="00704D85">
        <w:rPr>
          <w:rFonts w:ascii="Times New Roman" w:hAnsi="Times New Roman" w:cs="Times New Roman"/>
          <w:color w:val="000000"/>
          <w:sz w:val="24"/>
          <w:szCs w:val="24"/>
          <w:lang w:val="uk-UA"/>
        </w:rPr>
        <w:t xml:space="preserve"> крім доходів, які оподатковуються за ставкою, визначеною </w:t>
      </w:r>
      <w:r w:rsidRPr="00704D85">
        <w:rPr>
          <w:rFonts w:ascii="Times New Roman" w:hAnsi="Times New Roman" w:cs="Times New Roman"/>
          <w:color w:val="000000"/>
          <w:sz w:val="24"/>
          <w:szCs w:val="24"/>
          <w:lang w:val="uk-UA" w:eastAsia="uk-UA"/>
        </w:rPr>
        <w:t xml:space="preserve">п.п. </w:t>
      </w:r>
      <w:r w:rsidRPr="00704D85">
        <w:rPr>
          <w:rFonts w:ascii="Times New Roman" w:hAnsi="Times New Roman" w:cs="Times New Roman"/>
          <w:color w:val="000000"/>
          <w:sz w:val="24"/>
          <w:szCs w:val="24"/>
          <w:lang w:val="uk-UA"/>
        </w:rPr>
        <w:t xml:space="preserve">4 </w:t>
      </w:r>
      <w:r w:rsidRPr="00704D85">
        <w:rPr>
          <w:rFonts w:ascii="Times New Roman" w:hAnsi="Times New Roman" w:cs="Times New Roman"/>
          <w:color w:val="000000"/>
          <w:sz w:val="24"/>
          <w:szCs w:val="24"/>
          <w:lang w:val="uk-UA" w:eastAsia="uk-UA"/>
        </w:rPr>
        <w:t>п. 16</w:t>
      </w:r>
      <w:r w:rsidRPr="00704D85">
        <w:rPr>
          <w:rFonts w:ascii="Times New Roman" w:hAnsi="Times New Roman" w:cs="Times New Roman"/>
          <w:color w:val="000000"/>
          <w:sz w:val="24"/>
          <w:szCs w:val="24"/>
          <w:vertAlign w:val="superscript"/>
          <w:lang w:val="uk-UA" w:eastAsia="uk-UA"/>
        </w:rPr>
        <w:t>1</w:t>
      </w:r>
      <w:r w:rsidRPr="00704D85">
        <w:rPr>
          <w:rFonts w:ascii="Times New Roman" w:hAnsi="Times New Roman" w:cs="Times New Roman"/>
          <w:color w:val="000000"/>
          <w:sz w:val="24"/>
          <w:szCs w:val="24"/>
          <w:lang w:val="uk-UA" w:eastAsia="uk-UA"/>
        </w:rPr>
        <w:t xml:space="preserve"> підрозділу 10 розділу XX «Перехідні положення» </w:t>
      </w:r>
      <w:r w:rsidRPr="00704D85">
        <w:rPr>
          <w:rFonts w:ascii="Times New Roman" w:eastAsia="SimSun" w:hAnsi="Times New Roman" w:cs="Times New Roman"/>
          <w:color w:val="000000"/>
          <w:sz w:val="24"/>
          <w:szCs w:val="24"/>
          <w:lang w:val="uk-UA"/>
        </w:rPr>
        <w:t>Кодексу</w:t>
      </w:r>
      <w:r w:rsidRPr="00704D85">
        <w:rPr>
          <w:rFonts w:ascii="Times New Roman" w:hAnsi="Times New Roman" w:cs="Times New Roman"/>
          <w:color w:val="000000"/>
          <w:sz w:val="24"/>
          <w:szCs w:val="24"/>
          <w:lang w:val="uk-UA" w:eastAsia="uk-UA"/>
        </w:rPr>
        <w:t xml:space="preserve"> (п.п. 1 п.п. 1.3 п. 16</w:t>
      </w:r>
      <w:r w:rsidRPr="00704D85">
        <w:rPr>
          <w:rFonts w:ascii="Times New Roman" w:hAnsi="Times New Roman" w:cs="Times New Roman"/>
          <w:color w:val="000000"/>
          <w:sz w:val="24"/>
          <w:szCs w:val="24"/>
          <w:vertAlign w:val="superscript"/>
          <w:lang w:val="uk-UA" w:eastAsia="uk-UA"/>
        </w:rPr>
        <w:t>1</w:t>
      </w:r>
      <w:r w:rsidRPr="00704D85">
        <w:rPr>
          <w:rFonts w:ascii="Times New Roman" w:hAnsi="Times New Roman" w:cs="Times New Roman"/>
          <w:color w:val="000000"/>
          <w:sz w:val="24"/>
          <w:szCs w:val="24"/>
          <w:lang w:val="uk-UA" w:eastAsia="uk-UA"/>
        </w:rPr>
        <w:t xml:space="preserve"> підрозділу 10 розділу XX «Перехідні положення» </w:t>
      </w:r>
      <w:r w:rsidRPr="00704D85">
        <w:rPr>
          <w:rFonts w:ascii="Times New Roman" w:eastAsia="SimSun" w:hAnsi="Times New Roman" w:cs="Times New Roman"/>
          <w:color w:val="000000"/>
          <w:sz w:val="24"/>
          <w:szCs w:val="24"/>
          <w:lang w:val="uk-UA"/>
        </w:rPr>
        <w:t>Кодексу</w:t>
      </w:r>
      <w:r w:rsidRPr="00704D85">
        <w:rPr>
          <w:rFonts w:ascii="Times New Roman" w:eastAsia="Verdana" w:hAnsi="Times New Roman" w:cs="Times New Roman"/>
          <w:color w:val="000000"/>
          <w:sz w:val="24"/>
          <w:szCs w:val="24"/>
          <w:lang w:val="uk-UA" w:eastAsia="uk-UA"/>
        </w:rPr>
        <w:t>).</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Нарахування, утримання та сплата (перерахування) податку на доходи фізичних осіб та військового збору до бюджету здійснюються у порядку, встановленому ст. 168 Кодексу та п.п. 1.4 п. 16</w:t>
      </w:r>
      <w:r w:rsidRPr="00704D85">
        <w:rPr>
          <w:rFonts w:ascii="Times New Roman" w:eastAsia="SimSun" w:hAnsi="Times New Roman" w:cs="Times New Roman"/>
          <w:color w:val="000000"/>
          <w:sz w:val="24"/>
          <w:szCs w:val="24"/>
          <w:vertAlign w:val="superscript"/>
          <w:lang w:val="uk-UA"/>
        </w:rPr>
        <w:t>1</w:t>
      </w:r>
      <w:r w:rsidRPr="00704D85">
        <w:rPr>
          <w:rFonts w:ascii="Times New Roman" w:eastAsia="SimSun" w:hAnsi="Times New Roman" w:cs="Times New Roman"/>
          <w:color w:val="000000"/>
          <w:sz w:val="24"/>
          <w:szCs w:val="24"/>
          <w:lang w:val="uk-UA"/>
        </w:rPr>
        <w:t xml:space="preserve"> підрозділу 10 розділу XX «Перехідні положення» Кодексу.</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 xml:space="preserve">Податковий агент, поняття якого наведено у п.п. 14.1.180 п. 14.1 ст. 14 Кодексу, що нараховує (виплачує, надає) оподатковуваний дохід на користь платника податку, зобов’язаний утримувати податок на доходи фізичних осіб і військовий збір із суми такого доходу за його рахунок, використовуючи ставку податку, визначену ст. 167 Кодексу, та ставку військового збору, встановлену </w:t>
      </w:r>
      <w:r w:rsidRPr="00704D85">
        <w:rPr>
          <w:rFonts w:ascii="Times New Roman" w:eastAsia="SimSun" w:hAnsi="Times New Roman" w:cs="Times New Roman"/>
          <w:color w:val="000000"/>
          <w:sz w:val="24"/>
          <w:szCs w:val="24"/>
          <w:lang w:val="uk-UA"/>
        </w:rPr>
        <w:br/>
        <w:t>п.п. 1.3 п. 16</w:t>
      </w:r>
      <w:r w:rsidRPr="00704D85">
        <w:rPr>
          <w:rFonts w:ascii="Times New Roman" w:eastAsia="SimSun" w:hAnsi="Times New Roman" w:cs="Times New Roman"/>
          <w:color w:val="000000"/>
          <w:sz w:val="24"/>
          <w:szCs w:val="24"/>
          <w:vertAlign w:val="superscript"/>
          <w:lang w:val="uk-UA"/>
        </w:rPr>
        <w:t>1</w:t>
      </w:r>
      <w:r w:rsidRPr="00704D85">
        <w:rPr>
          <w:rFonts w:ascii="Times New Roman" w:eastAsia="SimSun" w:hAnsi="Times New Roman" w:cs="Times New Roman"/>
          <w:color w:val="000000"/>
          <w:sz w:val="24"/>
          <w:szCs w:val="24"/>
          <w:lang w:val="uk-UA"/>
        </w:rPr>
        <w:t xml:space="preserve"> підрозділу 10 розділу XX «Перехідні положення» Кодексу </w:t>
      </w:r>
      <w:r w:rsidRPr="00704D85">
        <w:rPr>
          <w:rFonts w:ascii="Times New Roman" w:eastAsia="SimSun" w:hAnsi="Times New Roman" w:cs="Times New Roman"/>
          <w:color w:val="000000"/>
          <w:sz w:val="24"/>
          <w:szCs w:val="24"/>
          <w:lang w:val="uk-UA"/>
        </w:rPr>
        <w:br/>
        <w:t>(п.п. 168.1.1 п. 168.1 ст. 168 та п.п. 1.4 п. 16</w:t>
      </w:r>
      <w:r w:rsidRPr="00704D85">
        <w:rPr>
          <w:rFonts w:ascii="Times New Roman" w:eastAsia="SimSun" w:hAnsi="Times New Roman" w:cs="Times New Roman"/>
          <w:color w:val="000000"/>
          <w:sz w:val="24"/>
          <w:szCs w:val="24"/>
          <w:vertAlign w:val="superscript"/>
          <w:lang w:val="uk-UA"/>
        </w:rPr>
        <w:t>1</w:t>
      </w:r>
      <w:r w:rsidRPr="00704D85">
        <w:rPr>
          <w:rFonts w:ascii="Times New Roman" w:eastAsia="SimSun" w:hAnsi="Times New Roman" w:cs="Times New Roman"/>
          <w:color w:val="000000"/>
          <w:sz w:val="24"/>
          <w:szCs w:val="24"/>
          <w:lang w:val="uk-UA"/>
        </w:rPr>
        <w:t xml:space="preserve"> підрозділу 10 розділу XX «Перехідні положення» Кодексу).</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Отже, у разі якщо обладнання та інші засоби, необхідні для виконання робіт (надання послуг), надаються резидентом Дія Сіті гіг-спеціалісту в межах гіг-контракту, то вартість такого обладнання включається до загального місячного (річного) оподатковуваного доходу платника податку як додаткове благо та оподатковується податком на доходи фізичних осіб та військовим збором за загальними правилами, встановленими для платників податків – фізичних осіб.</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t>При цьому така юридична особа зобов’язана виконати всі функції податкового агента, передбачені Кодексом.</w:t>
      </w:r>
    </w:p>
    <w:p w:rsidR="00704D85" w:rsidRPr="00704D85" w:rsidRDefault="00704D85" w:rsidP="00704D85">
      <w:pPr>
        <w:widowControl w:val="0"/>
        <w:ind w:firstLine="709"/>
        <w:jc w:val="both"/>
        <w:rPr>
          <w:rFonts w:ascii="Times New Roman" w:hAnsi="Times New Roman" w:cs="Times New Roman"/>
          <w:sz w:val="24"/>
          <w:szCs w:val="24"/>
          <w:lang w:val="uk-UA"/>
        </w:rPr>
      </w:pPr>
      <w:r w:rsidRPr="00704D85">
        <w:rPr>
          <w:rFonts w:ascii="Times New Roman" w:hAnsi="Times New Roman" w:cs="Times New Roman"/>
          <w:sz w:val="24"/>
          <w:szCs w:val="24"/>
          <w:lang w:val="uk-UA"/>
        </w:rPr>
        <w:t>Одночасно зауважуємо, що неможливість, на думку юридичної особи, персоніфікувати отриманий дохід не може слугувати підставою для звільнення платника податків від сплати відповідних податків і зборів.</w:t>
      </w:r>
    </w:p>
    <w:p w:rsidR="00704D85" w:rsidRPr="00704D85" w:rsidRDefault="00704D85" w:rsidP="00704D85">
      <w:pPr>
        <w:widowControl w:val="0"/>
        <w:autoSpaceDE w:val="0"/>
        <w:autoSpaceDN w:val="0"/>
        <w:ind w:firstLine="709"/>
        <w:jc w:val="both"/>
        <w:rPr>
          <w:rFonts w:ascii="Times New Roman" w:eastAsia="SimSun" w:hAnsi="Times New Roman" w:cs="Times New Roman"/>
          <w:color w:val="000000"/>
          <w:sz w:val="24"/>
          <w:szCs w:val="24"/>
          <w:lang w:val="uk-UA"/>
        </w:rPr>
      </w:pPr>
      <w:r w:rsidRPr="00704D85">
        <w:rPr>
          <w:rFonts w:ascii="Times New Roman" w:eastAsia="SimSun" w:hAnsi="Times New Roman" w:cs="Times New Roman"/>
          <w:color w:val="000000"/>
          <w:sz w:val="24"/>
          <w:szCs w:val="24"/>
          <w:lang w:val="uk-UA"/>
        </w:rPr>
        <w:lastRenderedPageBreak/>
        <w:t>Щодо питання другого</w:t>
      </w:r>
    </w:p>
    <w:p w:rsidR="00704D85" w:rsidRPr="00704D85" w:rsidRDefault="00704D85" w:rsidP="00704D85">
      <w:pPr>
        <w:ind w:firstLine="709"/>
        <w:jc w:val="both"/>
        <w:rPr>
          <w:rFonts w:ascii="Times New Roman" w:hAnsi="Times New Roman" w:cs="Times New Roman"/>
          <w:sz w:val="24"/>
          <w:szCs w:val="24"/>
        </w:rPr>
      </w:pPr>
      <w:r w:rsidRPr="00704D85">
        <w:rPr>
          <w:rFonts w:ascii="Times New Roman" w:hAnsi="Times New Roman" w:cs="Times New Roman"/>
          <w:sz w:val="24"/>
          <w:szCs w:val="24"/>
        </w:rPr>
        <w:t>Передавання речей, визначених індивідуальними ознаками, оформлюють або договором оренди, або договором позички (надання майна у тимчасове користування). Різниця між цими договорами полягає, зокрема, у тому, що договір оренди є відплатним, а договір позички – безвідплатним.</w:t>
      </w:r>
    </w:p>
    <w:p w:rsidR="00704D85" w:rsidRPr="00704D85" w:rsidRDefault="00704D85" w:rsidP="00704D85">
      <w:pPr>
        <w:ind w:firstLine="709"/>
        <w:jc w:val="both"/>
        <w:rPr>
          <w:rFonts w:ascii="Times New Roman" w:hAnsi="Times New Roman" w:cs="Times New Roman"/>
          <w:sz w:val="24"/>
          <w:szCs w:val="24"/>
        </w:rPr>
      </w:pPr>
      <w:r w:rsidRPr="00704D85">
        <w:rPr>
          <w:rFonts w:ascii="Times New Roman" w:hAnsi="Times New Roman" w:cs="Times New Roman"/>
          <w:sz w:val="24"/>
          <w:szCs w:val="24"/>
        </w:rPr>
        <w:t>Договір позички між юридичними особами, а також між юридичною та фізичною особою укладається у письмовій формі (частина друга ст. 828 Цивільного кодексу України).</w:t>
      </w:r>
    </w:p>
    <w:p w:rsidR="00704D85" w:rsidRPr="00704D85" w:rsidRDefault="00704D85" w:rsidP="00704D85">
      <w:pPr>
        <w:ind w:firstLine="709"/>
        <w:jc w:val="both"/>
        <w:rPr>
          <w:rFonts w:ascii="Times New Roman" w:hAnsi="Times New Roman" w:cs="Times New Roman"/>
          <w:sz w:val="24"/>
          <w:szCs w:val="24"/>
        </w:rPr>
      </w:pPr>
      <w:r w:rsidRPr="00704D85">
        <w:rPr>
          <w:rFonts w:ascii="Times New Roman" w:hAnsi="Times New Roman" w:cs="Times New Roman"/>
          <w:sz w:val="24"/>
          <w:szCs w:val="24"/>
        </w:rPr>
        <w:t xml:space="preserve">Базою оподаткування операцій резидента Дія Сіті - платника податку на прибуток </w:t>
      </w:r>
      <w:r w:rsidRPr="00704D85">
        <w:rPr>
          <w:rFonts w:ascii="Times New Roman" w:hAnsi="Times New Roman" w:cs="Times New Roman"/>
          <w:bCs/>
          <w:sz w:val="24"/>
          <w:szCs w:val="24"/>
        </w:rPr>
        <w:t>підприємств</w:t>
      </w:r>
      <w:r w:rsidRPr="00704D85">
        <w:rPr>
          <w:rFonts w:ascii="Times New Roman" w:hAnsi="Times New Roman" w:cs="Times New Roman"/>
          <w:sz w:val="24"/>
          <w:szCs w:val="24"/>
        </w:rPr>
        <w:t xml:space="preserve"> на особливих умовах відповідно до п. 135.2 ст. 135 Кодексу є грошове вираження об’єкта оподаткування, розрахованого за правилами, визначеними цим пунктом та п.п. 141.9</w:t>
      </w:r>
      <w:r w:rsidRPr="00704D85">
        <w:rPr>
          <w:rFonts w:ascii="Times New Roman" w:hAnsi="Times New Roman" w:cs="Times New Roman"/>
          <w:sz w:val="24"/>
          <w:szCs w:val="24"/>
          <w:vertAlign w:val="superscript"/>
        </w:rPr>
        <w:t>1</w:t>
      </w:r>
      <w:r w:rsidRPr="00704D85">
        <w:rPr>
          <w:rFonts w:ascii="Times New Roman" w:hAnsi="Times New Roman" w:cs="Times New Roman"/>
          <w:sz w:val="24"/>
          <w:szCs w:val="24"/>
        </w:rPr>
        <w:t>.3 п. 141.9</w:t>
      </w:r>
      <w:r w:rsidRPr="00704D85">
        <w:rPr>
          <w:rFonts w:ascii="Times New Roman" w:hAnsi="Times New Roman" w:cs="Times New Roman"/>
          <w:sz w:val="24"/>
          <w:szCs w:val="24"/>
          <w:vertAlign w:val="superscript"/>
        </w:rPr>
        <w:t>1</w:t>
      </w:r>
      <w:r w:rsidRPr="00704D85">
        <w:rPr>
          <w:rFonts w:ascii="Times New Roman" w:hAnsi="Times New Roman" w:cs="Times New Roman"/>
          <w:sz w:val="24"/>
          <w:szCs w:val="24"/>
        </w:rPr>
        <w:t xml:space="preserve"> ст. 141 Кодексу. У разі здійснення операцій, які є об’єктом оподаткування, у формі, відмінній від грошової, базою оподаткування є вартість такої операції, визначена на рівні не нижче звичайної ціни.  </w:t>
      </w:r>
    </w:p>
    <w:p w:rsidR="00704D85" w:rsidRPr="00704D85" w:rsidRDefault="00704D85" w:rsidP="00704D85">
      <w:pPr>
        <w:ind w:firstLine="709"/>
        <w:jc w:val="both"/>
        <w:rPr>
          <w:rFonts w:ascii="Times New Roman" w:hAnsi="Times New Roman" w:cs="Times New Roman"/>
          <w:sz w:val="24"/>
          <w:szCs w:val="24"/>
        </w:rPr>
      </w:pPr>
      <w:r w:rsidRPr="00704D85">
        <w:rPr>
          <w:rFonts w:ascii="Times New Roman" w:hAnsi="Times New Roman" w:cs="Times New Roman"/>
          <w:sz w:val="24"/>
          <w:szCs w:val="24"/>
        </w:rPr>
        <w:t>Така база оподаткування операцій резидента Дія Сіті - платника податку на особливих умовах визначається виходячи з вартості операції без зменшення на суму утриманого податку на доходи нерезидента.</w:t>
      </w:r>
    </w:p>
    <w:p w:rsidR="00704D85" w:rsidRPr="00704D85" w:rsidRDefault="00704D85" w:rsidP="00704D85">
      <w:pPr>
        <w:ind w:firstLine="709"/>
        <w:jc w:val="both"/>
        <w:rPr>
          <w:rFonts w:ascii="Times New Roman" w:hAnsi="Times New Roman" w:cs="Times New Roman"/>
          <w:sz w:val="24"/>
          <w:szCs w:val="24"/>
        </w:rPr>
      </w:pPr>
      <w:r w:rsidRPr="00704D85">
        <w:rPr>
          <w:rFonts w:ascii="Times New Roman" w:hAnsi="Times New Roman" w:cs="Times New Roman"/>
          <w:sz w:val="24"/>
          <w:szCs w:val="24"/>
        </w:rPr>
        <w:t>Перелік складових, що включаються до бази оподаткування, встановлено п.п.</w:t>
      </w:r>
      <w:r w:rsidRPr="00704D85">
        <w:rPr>
          <w:rFonts w:ascii="Times New Roman" w:hAnsi="Times New Roman" w:cs="Times New Roman"/>
          <w:sz w:val="24"/>
          <w:szCs w:val="24"/>
          <w:lang w:val="uk-UA"/>
        </w:rPr>
        <w:t xml:space="preserve"> </w:t>
      </w:r>
      <w:r w:rsidRPr="00704D85">
        <w:rPr>
          <w:rFonts w:ascii="Times New Roman" w:hAnsi="Times New Roman" w:cs="Times New Roman"/>
          <w:sz w:val="24"/>
          <w:szCs w:val="24"/>
        </w:rPr>
        <w:t>135.2.1 п. 135.2 ст. 135 Кодексу.</w:t>
      </w:r>
    </w:p>
    <w:p w:rsidR="00704D85" w:rsidRPr="00704D85" w:rsidRDefault="00704D85" w:rsidP="00704D85">
      <w:pPr>
        <w:ind w:firstLine="709"/>
        <w:jc w:val="both"/>
        <w:rPr>
          <w:rFonts w:ascii="Times New Roman" w:hAnsi="Times New Roman" w:cs="Times New Roman"/>
          <w:sz w:val="24"/>
          <w:szCs w:val="24"/>
        </w:rPr>
      </w:pPr>
      <w:r w:rsidRPr="00704D85">
        <w:rPr>
          <w:rFonts w:ascii="Times New Roman" w:hAnsi="Times New Roman" w:cs="Times New Roman"/>
          <w:sz w:val="24"/>
          <w:szCs w:val="24"/>
        </w:rPr>
        <w:t>Відповідно до п.п. 135.2.1.6 п.п. 135.2.1 п. 135.2 ст. 135 Кодексу база оподаткування визначається, зокрема, як сума вартості майна (робіт, послуг), наданого (наданих) особі, яка не є резидентом Дія Сіті - платником податку на особливих умовах, без висування вимог щодо компенсації його (їх) вартості (у тому числі безоплатно наданих товарів (робіт, послуг), за винятком:</w:t>
      </w:r>
    </w:p>
    <w:p w:rsidR="00704D85" w:rsidRPr="00704D85" w:rsidRDefault="00704D85" w:rsidP="00704D85">
      <w:pPr>
        <w:ind w:firstLine="709"/>
        <w:jc w:val="both"/>
        <w:rPr>
          <w:rFonts w:ascii="Times New Roman" w:hAnsi="Times New Roman" w:cs="Times New Roman"/>
          <w:sz w:val="24"/>
          <w:szCs w:val="24"/>
        </w:rPr>
      </w:pPr>
      <w:r w:rsidRPr="00704D85">
        <w:rPr>
          <w:rFonts w:ascii="Times New Roman" w:hAnsi="Times New Roman" w:cs="Times New Roman"/>
          <w:sz w:val="24"/>
          <w:szCs w:val="24"/>
        </w:rPr>
        <w:t>а) наданого (наданих) неприбутковим організаціям, оподаткування операцій з якими регулюється підпунктами 135.2.1.8 і 135.2.1.8</w:t>
      </w:r>
      <w:r w:rsidRPr="00704D85">
        <w:rPr>
          <w:rFonts w:ascii="Times New Roman" w:hAnsi="Times New Roman" w:cs="Times New Roman"/>
          <w:sz w:val="24"/>
          <w:szCs w:val="24"/>
          <w:vertAlign w:val="superscript"/>
        </w:rPr>
        <w:t xml:space="preserve"> 1</w:t>
      </w:r>
      <w:r w:rsidRPr="00704D85">
        <w:rPr>
          <w:rFonts w:ascii="Times New Roman" w:hAnsi="Times New Roman" w:cs="Times New Roman"/>
          <w:sz w:val="24"/>
          <w:szCs w:val="24"/>
        </w:rPr>
        <w:t xml:space="preserve"> п.п. 135.2.1 п. 135.2 </w:t>
      </w:r>
      <w:r w:rsidRPr="00704D85">
        <w:rPr>
          <w:rFonts w:ascii="Times New Roman" w:hAnsi="Times New Roman" w:cs="Times New Roman"/>
          <w:sz w:val="24"/>
          <w:szCs w:val="24"/>
        </w:rPr>
        <w:br/>
        <w:t>ст. 135 Кодексу;</w:t>
      </w:r>
    </w:p>
    <w:p w:rsidR="00704D85" w:rsidRPr="00704D85" w:rsidRDefault="00704D85" w:rsidP="00704D85">
      <w:pPr>
        <w:ind w:firstLine="709"/>
        <w:jc w:val="both"/>
        <w:rPr>
          <w:rFonts w:ascii="Times New Roman" w:hAnsi="Times New Roman" w:cs="Times New Roman"/>
          <w:sz w:val="24"/>
          <w:szCs w:val="24"/>
        </w:rPr>
      </w:pPr>
      <w:r w:rsidRPr="00704D85">
        <w:rPr>
          <w:rFonts w:ascii="Times New Roman" w:hAnsi="Times New Roman" w:cs="Times New Roman"/>
          <w:sz w:val="24"/>
          <w:szCs w:val="24"/>
        </w:rPr>
        <w:t>б) розповсюдженого (розповсюджених) резидентом Дія Сіті - платником податку на особливих умовах (у тому числі із залученням третіх осіб) під час проведення рекламних (маркетингових) заходів, за умови що звичайна ціна одиниці товару (робіт, послуг), що використовується в рекламному (маркетинговому) заході як окрема одиниця розповсюдження, не перевищує розміру двох прожиткових мінімумів для працездатної особи, встановлених законом на 1 січня податкового (звітного) року;</w:t>
      </w:r>
    </w:p>
    <w:p w:rsidR="00704D85" w:rsidRPr="00704D85" w:rsidRDefault="00704D85" w:rsidP="00704D85">
      <w:pPr>
        <w:ind w:firstLine="709"/>
        <w:jc w:val="both"/>
        <w:rPr>
          <w:rFonts w:ascii="Times New Roman" w:hAnsi="Times New Roman" w:cs="Times New Roman"/>
          <w:sz w:val="24"/>
          <w:szCs w:val="24"/>
        </w:rPr>
      </w:pPr>
      <w:r w:rsidRPr="00704D85">
        <w:rPr>
          <w:rFonts w:ascii="Times New Roman" w:hAnsi="Times New Roman" w:cs="Times New Roman"/>
          <w:sz w:val="24"/>
          <w:szCs w:val="24"/>
        </w:rPr>
        <w:t xml:space="preserve">в) якщо вартість такого майна (робіт, послуг) підлягає оподаткуванню податком на доходи фізичних осіб відповідно до розділу IV Кодексу або не включається до розрахунку загального місячного (річного) оподатковуваного доходу згідно із ст. 165 Кодексу та/або не оподатковується згідно з п. 170.7 </w:t>
      </w:r>
      <w:r w:rsidRPr="00704D85">
        <w:rPr>
          <w:rFonts w:ascii="Times New Roman" w:hAnsi="Times New Roman" w:cs="Times New Roman"/>
          <w:sz w:val="24"/>
          <w:szCs w:val="24"/>
        </w:rPr>
        <w:br/>
        <w:t>ст. 170 Кодексу;</w:t>
      </w:r>
    </w:p>
    <w:p w:rsidR="00704D85" w:rsidRPr="00704D85" w:rsidRDefault="00704D85" w:rsidP="00704D85">
      <w:pPr>
        <w:ind w:firstLine="709"/>
        <w:jc w:val="both"/>
        <w:rPr>
          <w:rFonts w:ascii="Times New Roman" w:hAnsi="Times New Roman" w:cs="Times New Roman"/>
          <w:color w:val="000000"/>
          <w:sz w:val="24"/>
          <w:szCs w:val="24"/>
        </w:rPr>
      </w:pPr>
      <w:r w:rsidRPr="00704D85">
        <w:rPr>
          <w:rFonts w:ascii="Times New Roman" w:hAnsi="Times New Roman" w:cs="Times New Roman"/>
          <w:sz w:val="24"/>
          <w:szCs w:val="24"/>
        </w:rPr>
        <w:t xml:space="preserve">г) додаткових благ, що надаються резидентом Дія Сіті - платником податку на особливих умовах на користь спеціалістів резидента Дія Сіті, якщо такі додаткові блага не оподатковуються податком на доходи фізичних осіб через відсутність </w:t>
      </w:r>
      <w:r w:rsidRPr="00704D85">
        <w:rPr>
          <w:rFonts w:ascii="Times New Roman" w:hAnsi="Times New Roman" w:cs="Times New Roman"/>
          <w:color w:val="000000"/>
          <w:sz w:val="24"/>
          <w:szCs w:val="24"/>
        </w:rPr>
        <w:t>персоніфікованого обліку.</w:t>
      </w:r>
    </w:p>
    <w:p w:rsidR="00704D85" w:rsidRPr="00704D85" w:rsidRDefault="00704D85" w:rsidP="00704D85">
      <w:pPr>
        <w:pStyle w:val="rvps2"/>
        <w:ind w:firstLine="709"/>
        <w:rPr>
          <w:lang w:val="uk-UA"/>
        </w:rPr>
      </w:pPr>
      <w:r w:rsidRPr="00704D85">
        <w:rPr>
          <w:lang w:val="uk-UA"/>
        </w:rPr>
        <w:lastRenderedPageBreak/>
        <w:t xml:space="preserve">ґ) суми пенсійних внесків у межах недержавного пенсійного забезпечення та страхових платежів, </w:t>
      </w:r>
      <w:r w:rsidRPr="00704D85">
        <w:rPr>
          <w:color w:val="000000" w:themeColor="text1"/>
          <w:lang w:val="uk-UA"/>
        </w:rPr>
        <w:t xml:space="preserve">передбачених </w:t>
      </w:r>
      <w:hyperlink r:id="rId4" w:anchor="n11187" w:history="1">
        <w:r w:rsidRPr="00704D85">
          <w:rPr>
            <w:rStyle w:val="arvts99"/>
            <w:color w:val="000000" w:themeColor="text1"/>
            <w:lang w:val="uk-UA"/>
          </w:rPr>
          <w:t>підпунктами «в</w:t>
        </w:r>
      </w:hyperlink>
      <w:r w:rsidRPr="00704D85">
        <w:rPr>
          <w:rStyle w:val="arvts99"/>
          <w:color w:val="000000" w:themeColor="text1"/>
          <w:lang w:val="uk-UA"/>
        </w:rPr>
        <w:t>»</w:t>
      </w:r>
      <w:r w:rsidRPr="00704D85">
        <w:rPr>
          <w:color w:val="000000" w:themeColor="text1"/>
          <w:lang w:val="uk-UA"/>
        </w:rPr>
        <w:t xml:space="preserve"> і </w:t>
      </w:r>
      <w:hyperlink r:id="rId5" w:anchor="n19991" w:history="1">
        <w:r w:rsidRPr="00704D85">
          <w:rPr>
            <w:rStyle w:val="arvts99"/>
            <w:color w:val="000000" w:themeColor="text1"/>
            <w:lang w:val="uk-UA"/>
          </w:rPr>
          <w:t>«г</w:t>
        </w:r>
      </w:hyperlink>
      <w:r w:rsidRPr="00704D85">
        <w:rPr>
          <w:rStyle w:val="arvts99"/>
          <w:color w:val="000000" w:themeColor="text1"/>
          <w:lang w:val="uk-UA"/>
        </w:rPr>
        <w:t>»</w:t>
      </w:r>
      <w:r w:rsidRPr="00704D85">
        <w:rPr>
          <w:color w:val="000000" w:themeColor="text1"/>
          <w:lang w:val="uk-UA"/>
        </w:rPr>
        <w:t xml:space="preserve"> п</w:t>
      </w:r>
      <w:r w:rsidRPr="00704D85">
        <w:rPr>
          <w:lang w:val="uk-UA"/>
        </w:rPr>
        <w:t>.п. 164.2.16 п. 164.2 ст. 164 Кодексу.</w:t>
      </w:r>
    </w:p>
    <w:p w:rsidR="00704D85" w:rsidRPr="00704D85" w:rsidRDefault="00704D85" w:rsidP="00704D85">
      <w:pPr>
        <w:pStyle w:val="rvps2"/>
        <w:ind w:firstLine="709"/>
        <w:rPr>
          <w:lang w:val="uk-UA"/>
        </w:rPr>
      </w:pPr>
      <w:r w:rsidRPr="00704D85">
        <w:rPr>
          <w:color w:val="000000"/>
          <w:lang w:val="uk-UA"/>
        </w:rPr>
        <w:t xml:space="preserve">Для цілей </w:t>
      </w:r>
      <w:bookmarkStart w:id="2" w:name="n19845"/>
      <w:bookmarkEnd w:id="2"/>
      <w:r w:rsidRPr="00704D85">
        <w:rPr>
          <w:lang w:val="uk-UA"/>
        </w:rPr>
        <w:t>п.п. 135.2.1.6 п.п. 135.2.1 п. 135.2 ст. 135 Кодексу:</w:t>
      </w:r>
    </w:p>
    <w:p w:rsidR="00704D85" w:rsidRPr="00704D85" w:rsidRDefault="00704D85" w:rsidP="00704D85">
      <w:pPr>
        <w:pStyle w:val="rvps2"/>
        <w:ind w:firstLine="709"/>
        <w:rPr>
          <w:lang w:val="uk-UA"/>
        </w:rPr>
      </w:pPr>
      <w:r w:rsidRPr="00704D85">
        <w:rPr>
          <w:lang w:val="uk-UA"/>
        </w:rPr>
        <w:t>безоплатно наданим майном вважається також майно, нестача якого виявлена під час інвентаризації, за умови що балансова вартість такого відсутнього майна станом на дату проведення інвентаризації перевищує 5 відсотків сукупної балансової вартості відповідної однорідної групи майна, щодо якого проводиться інвентаризація (крім списання нестачі у межах норм природного убутку), та платник податку не звернувся до відповідних органів із заявою про вчинення кримінального правопорушення чи притягнення винних осіб до відповідальності або не вжив заходів до стягнення суми компенсації із зберігача, страхової компанії тощо у зв’язку з такою нестачею;</w:t>
      </w:r>
    </w:p>
    <w:p w:rsidR="00704D85" w:rsidRPr="00704D85" w:rsidRDefault="00704D85" w:rsidP="00704D85">
      <w:pPr>
        <w:pStyle w:val="rvps2"/>
        <w:ind w:firstLine="709"/>
        <w:rPr>
          <w:lang w:val="uk-UA"/>
        </w:rPr>
      </w:pPr>
      <w:bookmarkStart w:id="3" w:name="n19846"/>
      <w:bookmarkEnd w:id="3"/>
      <w:r w:rsidRPr="00704D85">
        <w:rPr>
          <w:lang w:val="uk-UA"/>
        </w:rPr>
        <w:t>однорідна група майна означає сукупність майна, що об’єднується за ознакою однорідності сировини і матеріалу, призначення, способу виробництва тощо. Якщо платником податку визначено однорідну групу майна відповідно до облікової політики підприємства, використовуються відповідні положення облікової політики підприємства.</w:t>
      </w:r>
    </w:p>
    <w:p w:rsidR="00704D85" w:rsidRPr="00704D85" w:rsidRDefault="00704D85" w:rsidP="00704D85">
      <w:pPr>
        <w:pStyle w:val="rvps2"/>
        <w:shd w:val="clear" w:color="auto" w:fill="FFFFFF"/>
        <w:ind w:firstLine="709"/>
        <w:rPr>
          <w:lang w:val="ru-RU"/>
        </w:rPr>
      </w:pPr>
      <w:r w:rsidRPr="00704D85">
        <w:rPr>
          <w:bCs/>
          <w:lang w:val="ru-RU"/>
        </w:rPr>
        <w:t xml:space="preserve">Отже, для резидента Дія Сіті, який обрав сплату податку на прибуток підприємств на особливих умовах, вартість обладнання </w:t>
      </w:r>
      <w:r w:rsidRPr="00704D85">
        <w:rPr>
          <w:lang w:val="ru-RU"/>
        </w:rPr>
        <w:t>(комп’ютерної техніки)</w:t>
      </w:r>
      <w:r w:rsidRPr="00704D85">
        <w:rPr>
          <w:bCs/>
          <w:lang w:val="ru-RU"/>
        </w:rPr>
        <w:t xml:space="preserve">, що передається </w:t>
      </w:r>
      <w:r w:rsidRPr="00704D85">
        <w:rPr>
          <w:lang w:val="ru-RU"/>
        </w:rPr>
        <w:t>працівнику, який перебуває з таким резидентом Дія Сіті у трудових відносинах, для виконання трудової функції та / або</w:t>
      </w:r>
      <w:r w:rsidRPr="00704D85">
        <w:rPr>
          <w:bCs/>
          <w:lang w:val="ru-RU"/>
        </w:rPr>
        <w:t xml:space="preserve"> гіг-спеціалісту </w:t>
      </w:r>
      <w:r w:rsidRPr="00704D85">
        <w:rPr>
          <w:lang w:val="ru-RU"/>
        </w:rPr>
        <w:t>для виконання робіт за гіг-контрактом</w:t>
      </w:r>
      <w:r w:rsidRPr="00704D85">
        <w:rPr>
          <w:bCs/>
          <w:lang w:val="ru-RU"/>
        </w:rPr>
        <w:t xml:space="preserve"> в якості інструменту (засобу) виконання робіт (надання послуг) без переходу права власності на таке обладнання (передбачає його повернення), зокрема у випадку, якщо така передача відбувається за договором позички у строкове використання, не включається до </w:t>
      </w:r>
      <w:r w:rsidRPr="00704D85">
        <w:rPr>
          <w:lang w:val="ru-RU"/>
        </w:rPr>
        <w:t xml:space="preserve">бази оподаткування резидента Дія Сіті таким податком. </w:t>
      </w:r>
    </w:p>
    <w:p w:rsidR="00704D85" w:rsidRPr="00704D85" w:rsidRDefault="00704D85" w:rsidP="00704D85">
      <w:pPr>
        <w:ind w:firstLine="709"/>
        <w:jc w:val="both"/>
        <w:rPr>
          <w:rFonts w:ascii="Times New Roman" w:hAnsi="Times New Roman" w:cs="Times New Roman"/>
          <w:sz w:val="24"/>
          <w:szCs w:val="24"/>
        </w:rPr>
      </w:pPr>
      <w:r w:rsidRPr="00704D85">
        <w:rPr>
          <w:rFonts w:ascii="Times New Roman" w:hAnsi="Times New Roman" w:cs="Times New Roman"/>
          <w:sz w:val="24"/>
          <w:szCs w:val="24"/>
        </w:rPr>
        <w:t>Водночас слід зазначити, що вказана позиція погоджена з Міністерством фінансів України.</w:t>
      </w:r>
    </w:p>
    <w:p w:rsidR="00704D85" w:rsidRPr="00704D85" w:rsidRDefault="00704D85" w:rsidP="00704D85">
      <w:pPr>
        <w:widowControl w:val="0"/>
        <w:ind w:firstLine="709"/>
        <w:jc w:val="both"/>
        <w:rPr>
          <w:rFonts w:ascii="Times New Roman" w:hAnsi="Times New Roman" w:cs="Times New Roman"/>
          <w:sz w:val="24"/>
          <w:szCs w:val="24"/>
          <w:lang w:val="uk-UA"/>
        </w:rPr>
      </w:pPr>
      <w:r w:rsidRPr="00704D85">
        <w:rPr>
          <w:rFonts w:ascii="Times New Roman" w:hAnsi="Times New Roman" w:cs="Times New Roman"/>
          <w:sz w:val="24"/>
          <w:szCs w:val="24"/>
          <w:lang w:val="uk-UA"/>
        </w:rPr>
        <w:t>Відповідно до п. 52.2 ст. 52 Кодексу 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w:t>
      </w:r>
    </w:p>
    <w:p w:rsidR="00864E5B" w:rsidRPr="00704D85" w:rsidRDefault="00864E5B" w:rsidP="00704D85">
      <w:pPr>
        <w:spacing w:after="0" w:line="240" w:lineRule="auto"/>
        <w:ind w:firstLine="709"/>
        <w:jc w:val="both"/>
        <w:rPr>
          <w:lang w:val="uk-UA"/>
        </w:rPr>
      </w:pPr>
    </w:p>
    <w:sectPr w:rsidR="00864E5B" w:rsidRPr="00704D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78"/>
    <w:rsid w:val="00012A31"/>
    <w:rsid w:val="00704D85"/>
    <w:rsid w:val="00706D58"/>
    <w:rsid w:val="00864E5B"/>
    <w:rsid w:val="00A950CC"/>
    <w:rsid w:val="00B34C78"/>
    <w:rsid w:val="00E11CDC"/>
    <w:rsid w:val="00ED48CF"/>
    <w:rsid w:val="00F84C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72AB"/>
  <w15:chartTrackingRefBased/>
  <w15:docId w15:val="{86272A0F-4B6A-437A-87F2-D83E06FA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C78"/>
    <w:rPr>
      <w:lang w:val="ru-RU"/>
    </w:rPr>
  </w:style>
  <w:style w:type="paragraph" w:styleId="1">
    <w:name w:val="heading 1"/>
    <w:basedOn w:val="a"/>
    <w:next w:val="a"/>
    <w:link w:val="10"/>
    <w:autoRedefine/>
    <w:uiPriority w:val="9"/>
    <w:qFormat/>
    <w:rsid w:val="00706D58"/>
    <w:pPr>
      <w:keepNext/>
      <w:keepLines/>
      <w:spacing w:before="240" w:after="0"/>
      <w:outlineLvl w:val="0"/>
    </w:pPr>
    <w:rPr>
      <w:rFonts w:ascii="Times New Roman" w:eastAsiaTheme="majorEastAsia" w:hAnsi="Times New Roman" w:cstheme="majorBidi"/>
      <w:b/>
      <w:sz w:val="40"/>
      <w:szCs w:val="32"/>
      <w:lang w:val="uk-UA"/>
    </w:rPr>
  </w:style>
  <w:style w:type="paragraph" w:styleId="2">
    <w:name w:val="heading 2"/>
    <w:basedOn w:val="a"/>
    <w:next w:val="a"/>
    <w:link w:val="20"/>
    <w:autoRedefine/>
    <w:uiPriority w:val="9"/>
    <w:semiHidden/>
    <w:unhideWhenUsed/>
    <w:qFormat/>
    <w:rsid w:val="00706D58"/>
    <w:pPr>
      <w:keepNext/>
      <w:keepLines/>
      <w:spacing w:before="40" w:after="0"/>
      <w:outlineLvl w:val="1"/>
    </w:pPr>
    <w:rPr>
      <w:rFonts w:ascii="Times New Roman" w:eastAsiaTheme="majorEastAsia" w:hAnsi="Times New Roman" w:cstheme="majorBidi"/>
      <w:b/>
      <w:sz w:val="32"/>
      <w:szCs w:val="26"/>
      <w:lang w:val="uk-UA"/>
    </w:rPr>
  </w:style>
  <w:style w:type="paragraph" w:styleId="3">
    <w:name w:val="heading 3"/>
    <w:basedOn w:val="a"/>
    <w:next w:val="a"/>
    <w:link w:val="30"/>
    <w:autoRedefine/>
    <w:uiPriority w:val="9"/>
    <w:unhideWhenUsed/>
    <w:qFormat/>
    <w:rsid w:val="00706D58"/>
    <w:pPr>
      <w:keepNext/>
      <w:keepLines/>
      <w:spacing w:before="40" w:after="0"/>
      <w:outlineLvl w:val="2"/>
    </w:pPr>
    <w:rPr>
      <w:rFonts w:ascii="Times New Roman" w:eastAsiaTheme="majorEastAsia" w:hAnsi="Times New Roman" w:cstheme="majorBidi"/>
      <w:b/>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6D58"/>
    <w:rPr>
      <w:rFonts w:ascii="Times New Roman" w:eastAsiaTheme="majorEastAsia" w:hAnsi="Times New Roman" w:cstheme="majorBidi"/>
      <w:b/>
      <w:sz w:val="40"/>
      <w:szCs w:val="32"/>
    </w:rPr>
  </w:style>
  <w:style w:type="character" w:customStyle="1" w:styleId="20">
    <w:name w:val="Заголовок 2 Знак"/>
    <w:basedOn w:val="a0"/>
    <w:link w:val="2"/>
    <w:uiPriority w:val="9"/>
    <w:semiHidden/>
    <w:rsid w:val="00706D58"/>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706D58"/>
    <w:rPr>
      <w:rFonts w:ascii="Times New Roman" w:eastAsiaTheme="majorEastAsia" w:hAnsi="Times New Roman" w:cstheme="majorBidi"/>
      <w:b/>
      <w:sz w:val="28"/>
      <w:szCs w:val="24"/>
    </w:rPr>
  </w:style>
  <w:style w:type="character" w:styleId="a3">
    <w:name w:val="Subtle Emphasis"/>
    <w:basedOn w:val="a0"/>
    <w:uiPriority w:val="19"/>
    <w:qFormat/>
    <w:rsid w:val="00E11CDC"/>
    <w:rPr>
      <w:rFonts w:ascii="Times New Roman" w:hAnsi="Times New Roman"/>
      <w:b/>
      <w:i w:val="0"/>
      <w:iCs/>
      <w:color w:val="404040" w:themeColor="text1" w:themeTint="BF"/>
      <w:sz w:val="40"/>
    </w:rPr>
  </w:style>
  <w:style w:type="paragraph" w:styleId="a4">
    <w:name w:val="Normal (Web)"/>
    <w:aliases w:val="Обычный (Web),Обычный (веб)1,Normal (Web),Обычный (веб) Знак,Знак1 Знак,Знак1 Знак Знак,Знак1 Знак Знак Знак Знак Знак Знак Знак,Знак1,Обычный (Web) Знак Знак Знак Знак Знак Знак,Обычный (веб)1 Знак,Знак1 Знак Знак Знак, Знак1 Знак,З"/>
    <w:basedOn w:val="a"/>
    <w:link w:val="31"/>
    <w:uiPriority w:val="99"/>
    <w:unhideWhenUsed/>
    <w:qFormat/>
    <w:rsid w:val="00704D85"/>
    <w:pPr>
      <w:spacing w:after="120" w:line="240" w:lineRule="auto"/>
      <w:ind w:left="283"/>
    </w:pPr>
    <w:rPr>
      <w:rFonts w:ascii="Times New Roman" w:eastAsia="Times New Roman" w:hAnsi="Times New Roman" w:cs="Times New Roman"/>
      <w:sz w:val="28"/>
      <w:szCs w:val="24"/>
      <w:lang w:eastAsia="ru-RU"/>
    </w:rPr>
  </w:style>
  <w:style w:type="character" w:customStyle="1" w:styleId="31">
    <w:name w:val="Обычный (веб) Знак3"/>
    <w:aliases w:val="Обычный (Web) Знак2,Обычный (веб)1 Знак3,Normal (Web) Знак,Обычный (веб) Знак Знак,Знак1 Знак Знак3,Знак1 Знак Знак Знак3,Знак1 Знак Знак Знак Знак Знак Знак Знак Знак,Знак1 Знак3,Обычный (Web) Знак Знак Знак Знак Знак Знак Знак"/>
    <w:link w:val="a4"/>
    <w:uiPriority w:val="99"/>
    <w:qFormat/>
    <w:locked/>
    <w:rsid w:val="00704D85"/>
    <w:rPr>
      <w:rFonts w:ascii="Times New Roman" w:eastAsia="Times New Roman" w:hAnsi="Times New Roman" w:cs="Times New Roman"/>
      <w:sz w:val="28"/>
      <w:szCs w:val="24"/>
      <w:lang w:val="ru-RU" w:eastAsia="ru-RU"/>
    </w:rPr>
  </w:style>
  <w:style w:type="paragraph" w:customStyle="1" w:styleId="rvps2">
    <w:name w:val="rvps2"/>
    <w:basedOn w:val="a"/>
    <w:qFormat/>
    <w:rsid w:val="00704D85"/>
    <w:pPr>
      <w:spacing w:after="0" w:line="240" w:lineRule="auto"/>
      <w:ind w:firstLine="450"/>
      <w:jc w:val="both"/>
    </w:pPr>
    <w:rPr>
      <w:rFonts w:ascii="Times New Roman" w:eastAsia="Times New Roman" w:hAnsi="Times New Roman" w:cs="Times New Roman"/>
      <w:sz w:val="24"/>
      <w:szCs w:val="24"/>
      <w:lang w:val="en-US"/>
    </w:rPr>
  </w:style>
  <w:style w:type="character" w:customStyle="1" w:styleId="arvts99">
    <w:name w:val="a_rvts99"/>
    <w:basedOn w:val="a0"/>
    <w:rsid w:val="00704D85"/>
    <w:rPr>
      <w:rFonts w:ascii="Times New Roman" w:eastAsia="Times New Roman" w:hAnsi="Times New Roman" w:cs="Times New Roman" w:hint="default"/>
      <w:b w:val="0"/>
      <w:bCs w:val="0"/>
      <w:i w:val="0"/>
      <w:iCs w:val="0"/>
      <w:color w:val="0066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hmakovii105743\Desktop\&#1110;&#1087;&#1082;\1965%20&#1076;&#1110;&#1072;&#1089;&#1092;&#1110;&#1088;%20&#1076;&#1110;&#1103;%20&#1089;&#1110;&#1090;&#1110;\3048_99%20&#1044;&#1110;&#1072;&#1089;&#1092;&#1110;&#1088;%20&#1075;&#1110;&#1075;%20&#1089;&#1087;&#1077;&#1094;.docx" TargetMode="External"/><Relationship Id="rId4" Type="http://schemas.openxmlformats.org/officeDocument/2006/relationships/hyperlink" Target="file:///C:\Users\hmakovii105743\Desktop\&#1110;&#1087;&#1082;\1965%20&#1076;&#1110;&#1072;&#1089;&#1092;&#1110;&#1088;%20&#1076;&#1110;&#1103;%20&#1089;&#1110;&#1090;&#1110;\3048_99%20&#1044;&#1110;&#1072;&#1089;&#1092;&#1110;&#1088;%20&#1075;&#1110;&#1075;%20&#1089;&#1087;&#1077;&#109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9019</Words>
  <Characters>5141</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2026-05-27T12:26:00Z</dcterms:created>
  <dcterms:modified xsi:type="dcterms:W3CDTF">2026-05-27T14:22:00Z</dcterms:modified>
</cp:coreProperties>
</file>