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907F" w14:textId="77777777" w:rsidR="00316EB0" w:rsidRPr="0064554C" w:rsidRDefault="00D11D34">
      <w:pPr>
        <w:spacing w:line="276" w:lineRule="auto"/>
        <w:jc w:val="right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b/>
          <w:bCs/>
          <w:sz w:val="24"/>
          <w:szCs w:val="24"/>
        </w:rPr>
        <w:t xml:space="preserve">До: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Комісії регіонального рівня з питань зупинення реєстрації</w:t>
      </w:r>
    </w:p>
    <w:p w14:paraId="382A0CD0" w14:textId="77777777" w:rsidR="00316EB0" w:rsidRPr="0064554C" w:rsidRDefault="00D11D34">
      <w:pPr>
        <w:spacing w:line="276" w:lineRule="auto"/>
        <w:jc w:val="right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податкових накладних / розрахунків коригування в ЄРПН</w:t>
      </w:r>
    </w:p>
    <w:p w14:paraId="403A55A4" w14:textId="77777777" w:rsidR="00316EB0" w:rsidRPr="0064554C" w:rsidRDefault="00D11D34">
      <w:pPr>
        <w:spacing w:line="276" w:lineRule="auto"/>
        <w:jc w:val="right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Головного управління ДПС у Черкаській області</w:t>
      </w:r>
    </w:p>
    <w:p w14:paraId="18F44966" w14:textId="77777777" w:rsidR="00316EB0" w:rsidRPr="0064554C" w:rsidRDefault="00316EB0">
      <w:pPr>
        <w:spacing w:after="40"/>
        <w:rPr>
          <w:rFonts w:ascii="Arial" w:hAnsi="Arial" w:cs="Arial"/>
          <w:sz w:val="24"/>
          <w:szCs w:val="24"/>
        </w:rPr>
      </w:pPr>
    </w:p>
    <w:p w14:paraId="6EB09935" w14:textId="77777777" w:rsidR="00316EB0" w:rsidRPr="0064554C" w:rsidRDefault="00D11D34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sz w:val="24"/>
          <w:szCs w:val="24"/>
        </w:rPr>
        <w:t xml:space="preserve">Від: </w:t>
      </w:r>
    </w:p>
    <w:p w14:paraId="07F26737" w14:textId="77777777" w:rsidR="00316EB0" w:rsidRPr="0064554C" w:rsidRDefault="00D11D34">
      <w:pPr>
        <w:spacing w:line="276" w:lineRule="auto"/>
        <w:jc w:val="right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Товариства з обмеженою відповідальністю «ІНТЕРБУДСЕРВІС»</w:t>
      </w:r>
    </w:p>
    <w:p w14:paraId="796E5E40" w14:textId="77777777" w:rsidR="00316EB0" w:rsidRPr="0064554C" w:rsidRDefault="00D11D34">
      <w:pPr>
        <w:spacing w:line="276" w:lineRule="auto"/>
        <w:jc w:val="right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Ідентифікаційний код: 30599320</w:t>
      </w:r>
    </w:p>
    <w:p w14:paraId="1A22C313" w14:textId="77777777" w:rsidR="00316EB0" w:rsidRPr="0064554C" w:rsidRDefault="00D11D34">
      <w:pPr>
        <w:spacing w:line="276" w:lineRule="auto"/>
        <w:jc w:val="right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ІПН платника ПДВ: 305993226516</w:t>
      </w:r>
    </w:p>
    <w:p w14:paraId="42A27343" w14:textId="77777777" w:rsidR="00316EB0" w:rsidRPr="0064554C" w:rsidRDefault="00D11D34">
      <w:pPr>
        <w:spacing w:line="276" w:lineRule="auto"/>
        <w:jc w:val="right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Місцезнаходження: вул. Будівельників, 1, м. Черкаси, 18000</w:t>
      </w:r>
    </w:p>
    <w:p w14:paraId="6D2CB67E" w14:textId="77777777" w:rsidR="00316EB0" w:rsidRPr="0064554C" w:rsidRDefault="00D11D34">
      <w:pPr>
        <w:spacing w:line="276" w:lineRule="auto"/>
        <w:jc w:val="right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Телефон: (0472) ХХ-ХХ-ХХ</w:t>
      </w:r>
    </w:p>
    <w:p w14:paraId="6761E1DA" w14:textId="77777777" w:rsidR="00316EB0" w:rsidRPr="0064554C" w:rsidRDefault="00D11D34">
      <w:pPr>
        <w:spacing w:line="276" w:lineRule="auto"/>
        <w:jc w:val="right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E-</w:t>
      </w:r>
      <w:proofErr w:type="spellStart"/>
      <w:r w:rsidRPr="0064554C">
        <w:rPr>
          <w:rFonts w:ascii="Arial" w:hAnsi="Arial" w:cs="Arial"/>
          <w:color w:val="0070C0"/>
          <w:sz w:val="24"/>
          <w:szCs w:val="24"/>
        </w:rPr>
        <w:t>mail</w:t>
      </w:r>
      <w:proofErr w:type="spellEnd"/>
      <w:r w:rsidRPr="0064554C">
        <w:rPr>
          <w:rFonts w:ascii="Arial" w:hAnsi="Arial" w:cs="Arial"/>
          <w:color w:val="0070C0"/>
          <w:sz w:val="24"/>
          <w:szCs w:val="24"/>
        </w:rPr>
        <w:t>: office@interbud.com.ua</w:t>
      </w:r>
    </w:p>
    <w:p w14:paraId="31225F8F" w14:textId="77777777" w:rsidR="00316EB0" w:rsidRPr="0064554C" w:rsidRDefault="00316EB0">
      <w:pPr>
        <w:spacing w:after="80"/>
        <w:rPr>
          <w:rFonts w:ascii="Arial" w:hAnsi="Arial" w:cs="Arial"/>
          <w:sz w:val="24"/>
          <w:szCs w:val="24"/>
        </w:rPr>
      </w:pPr>
    </w:p>
    <w:p w14:paraId="0EB8B1FE" w14:textId="77777777" w:rsidR="00316EB0" w:rsidRPr="0064554C" w:rsidRDefault="00D11D34">
      <w:pPr>
        <w:spacing w:line="276" w:lineRule="auto"/>
        <w:rPr>
          <w:rFonts w:ascii="Arial" w:hAnsi="Arial" w:cs="Arial"/>
          <w:color w:val="0070C0"/>
          <w:sz w:val="24"/>
          <w:szCs w:val="24"/>
        </w:rPr>
      </w:pPr>
      <w:proofErr w:type="spellStart"/>
      <w:r w:rsidRPr="0064554C">
        <w:rPr>
          <w:rFonts w:ascii="Arial" w:hAnsi="Arial" w:cs="Arial"/>
          <w:color w:val="0070C0"/>
          <w:sz w:val="24"/>
          <w:szCs w:val="24"/>
        </w:rPr>
        <w:t>Вих</w:t>
      </w:r>
      <w:proofErr w:type="spellEnd"/>
      <w:r w:rsidRPr="0064554C">
        <w:rPr>
          <w:rFonts w:ascii="Arial" w:hAnsi="Arial" w:cs="Arial"/>
          <w:color w:val="0070C0"/>
          <w:sz w:val="24"/>
          <w:szCs w:val="24"/>
        </w:rPr>
        <w:t>. № 25/01-П від 25 січня 2025 року</w:t>
      </w:r>
    </w:p>
    <w:p w14:paraId="5E9103DC" w14:textId="77777777" w:rsidR="00316EB0" w:rsidRPr="0064554C" w:rsidRDefault="00316EB0">
      <w:pPr>
        <w:spacing w:after="120"/>
        <w:rPr>
          <w:rFonts w:ascii="Arial" w:hAnsi="Arial" w:cs="Arial"/>
          <w:sz w:val="24"/>
          <w:szCs w:val="24"/>
        </w:rPr>
      </w:pPr>
    </w:p>
    <w:p w14:paraId="7C4DFDAA" w14:textId="77777777" w:rsidR="00316EB0" w:rsidRPr="0064554C" w:rsidRDefault="00D11D34">
      <w:pPr>
        <w:spacing w:after="80"/>
        <w:jc w:val="center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b/>
          <w:bCs/>
          <w:sz w:val="24"/>
          <w:szCs w:val="24"/>
        </w:rPr>
        <w:t>ПИСЬМОВІ ПОЯСНЕННЯ</w:t>
      </w:r>
    </w:p>
    <w:p w14:paraId="57094E6E" w14:textId="545B1B8B" w:rsidR="00316EB0" w:rsidRPr="0064554C" w:rsidRDefault="00D11D34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b/>
          <w:bCs/>
          <w:sz w:val="24"/>
          <w:szCs w:val="24"/>
        </w:rPr>
        <w:t xml:space="preserve">щодо підтвердження інформації, зазначеної </w:t>
      </w:r>
      <w:r w:rsidR="0064554C">
        <w:rPr>
          <w:rFonts w:ascii="Arial" w:hAnsi="Arial" w:cs="Arial"/>
          <w:b/>
          <w:bCs/>
          <w:sz w:val="24"/>
          <w:szCs w:val="24"/>
        </w:rPr>
        <w:t>у</w:t>
      </w:r>
      <w:r w:rsidRPr="0064554C">
        <w:rPr>
          <w:rFonts w:ascii="Arial" w:hAnsi="Arial" w:cs="Arial"/>
          <w:b/>
          <w:bCs/>
          <w:sz w:val="24"/>
          <w:szCs w:val="24"/>
        </w:rPr>
        <w:t xml:space="preserve"> податковій накладній,</w:t>
      </w:r>
    </w:p>
    <w:p w14:paraId="1B12AC8D" w14:textId="77777777" w:rsidR="00316EB0" w:rsidRPr="0064554C" w:rsidRDefault="00D11D34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sz w:val="24"/>
          <w:szCs w:val="24"/>
        </w:rPr>
        <w:t xml:space="preserve">реєстрацію якої </w:t>
      </w:r>
      <w:proofErr w:type="spellStart"/>
      <w:r w:rsidRPr="0064554C">
        <w:rPr>
          <w:rFonts w:ascii="Arial" w:hAnsi="Arial" w:cs="Arial"/>
          <w:sz w:val="24"/>
          <w:szCs w:val="24"/>
        </w:rPr>
        <w:t>зупинено</w:t>
      </w:r>
      <w:proofErr w:type="spellEnd"/>
      <w:r w:rsidRPr="0064554C">
        <w:rPr>
          <w:rFonts w:ascii="Arial" w:hAnsi="Arial" w:cs="Arial"/>
          <w:sz w:val="24"/>
          <w:szCs w:val="24"/>
        </w:rPr>
        <w:t xml:space="preserve"> в ЄРПН</w:t>
      </w:r>
    </w:p>
    <w:p w14:paraId="367267DA" w14:textId="77777777" w:rsidR="005742F8" w:rsidRPr="0064554C" w:rsidRDefault="005742F8" w:rsidP="005742F8">
      <w:pPr>
        <w:rPr>
          <w:rFonts w:ascii="Arial" w:hAnsi="Arial" w:cs="Arial"/>
          <w:b/>
          <w:sz w:val="24"/>
          <w:szCs w:val="24"/>
          <w:u w:val="single"/>
        </w:rPr>
      </w:pPr>
      <w:r w:rsidRPr="0064554C">
        <w:rPr>
          <w:rFonts w:ascii="Arial" w:hAnsi="Arial" w:cs="Arial"/>
          <w:b/>
          <w:sz w:val="24"/>
          <w:szCs w:val="24"/>
          <w:u w:val="single"/>
        </w:rPr>
        <w:t>Основні дані про ПН:</w:t>
      </w:r>
    </w:p>
    <w:p w14:paraId="5E06ECBC" w14:textId="77777777" w:rsidR="005742F8" w:rsidRPr="0064554C" w:rsidRDefault="005742F8" w:rsidP="005742F8">
      <w:pPr>
        <w:rPr>
          <w:rFonts w:ascii="Arial" w:hAnsi="Arial" w:cs="Arial"/>
          <w:b/>
          <w:sz w:val="24"/>
          <w:szCs w:val="24"/>
        </w:rPr>
      </w:pPr>
      <w:r w:rsidRPr="0064554C">
        <w:rPr>
          <w:rFonts w:ascii="Arial" w:hAnsi="Arial" w:cs="Arial"/>
          <w:b/>
          <w:sz w:val="24"/>
          <w:szCs w:val="24"/>
        </w:rPr>
        <w:t xml:space="preserve">Податкова накладна </w:t>
      </w:r>
      <w:r w:rsidRPr="0064554C">
        <w:rPr>
          <w:rFonts w:ascii="Arial" w:hAnsi="Arial" w:cs="Arial"/>
          <w:b/>
          <w:color w:val="0070C0"/>
          <w:sz w:val="24"/>
          <w:szCs w:val="24"/>
        </w:rPr>
        <w:t>№ 4 від 26 грудня 2024 року</w:t>
      </w:r>
    </w:p>
    <w:p w14:paraId="4AB4E0A2" w14:textId="77777777" w:rsidR="005742F8" w:rsidRPr="0064554C" w:rsidRDefault="005742F8" w:rsidP="005742F8">
      <w:pPr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b/>
          <w:sz w:val="24"/>
          <w:szCs w:val="24"/>
        </w:rPr>
        <w:t>Загальна сума:</w:t>
      </w:r>
      <w:r w:rsidRPr="0064554C">
        <w:rPr>
          <w:rFonts w:ascii="Arial" w:hAnsi="Arial" w:cs="Arial"/>
          <w:sz w:val="24"/>
          <w:szCs w:val="24"/>
        </w:rPr>
        <w:t xml:space="preserve"> 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15 274 082,80 грн, у </w:t>
      </w:r>
      <w:proofErr w:type="spellStart"/>
      <w:r w:rsidRPr="0064554C">
        <w:rPr>
          <w:rFonts w:ascii="Arial" w:hAnsi="Arial" w:cs="Arial"/>
          <w:color w:val="0070C0"/>
          <w:sz w:val="24"/>
          <w:szCs w:val="24"/>
        </w:rPr>
        <w:t>т.ч</w:t>
      </w:r>
      <w:proofErr w:type="spellEnd"/>
      <w:r w:rsidRPr="0064554C">
        <w:rPr>
          <w:rFonts w:ascii="Arial" w:hAnsi="Arial" w:cs="Arial"/>
          <w:color w:val="0070C0"/>
          <w:sz w:val="24"/>
          <w:szCs w:val="24"/>
        </w:rPr>
        <w:t xml:space="preserve">. ПДВ: 2 545 680,47 грн  </w:t>
      </w:r>
    </w:p>
    <w:p w14:paraId="181A75C1" w14:textId="1992BE90" w:rsidR="005742F8" w:rsidRPr="0064554C" w:rsidRDefault="005742F8" w:rsidP="005742F8">
      <w:pPr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b/>
          <w:sz w:val="24"/>
          <w:szCs w:val="24"/>
        </w:rPr>
        <w:t>Покупець</w:t>
      </w:r>
      <w:r w:rsidRPr="0064554C">
        <w:rPr>
          <w:rFonts w:ascii="Arial" w:hAnsi="Arial" w:cs="Arial"/>
          <w:sz w:val="24"/>
          <w:szCs w:val="24"/>
        </w:rPr>
        <w:t>: ТОВ «</w:t>
      </w:r>
      <w:r w:rsidRPr="0064554C">
        <w:rPr>
          <w:rFonts w:ascii="Arial" w:hAnsi="Arial" w:cs="Arial"/>
          <w:color w:val="0070C0"/>
          <w:sz w:val="24"/>
          <w:szCs w:val="24"/>
        </w:rPr>
        <w:t>ЧЕРКАСЬКБУДПРО</w:t>
      </w:r>
      <w:r w:rsidR="0064554C">
        <w:rPr>
          <w:rFonts w:ascii="Arial" w:hAnsi="Arial" w:cs="Arial"/>
          <w:color w:val="0070C0"/>
          <w:sz w:val="24"/>
          <w:szCs w:val="24"/>
        </w:rPr>
        <w:t>Є</w:t>
      </w:r>
      <w:r w:rsidRPr="0064554C">
        <w:rPr>
          <w:rFonts w:ascii="Arial" w:hAnsi="Arial" w:cs="Arial"/>
          <w:color w:val="0070C0"/>
          <w:sz w:val="24"/>
          <w:szCs w:val="24"/>
        </w:rPr>
        <w:t>КТ</w:t>
      </w:r>
      <w:r w:rsidRPr="0064554C">
        <w:rPr>
          <w:rFonts w:ascii="Arial" w:hAnsi="Arial" w:cs="Arial"/>
          <w:sz w:val="24"/>
          <w:szCs w:val="24"/>
        </w:rPr>
        <w:t xml:space="preserve">», ІПН </w:t>
      </w:r>
      <w:r w:rsidRPr="0064554C">
        <w:rPr>
          <w:rFonts w:ascii="Arial" w:hAnsi="Arial" w:cs="Arial"/>
          <w:color w:val="0070C0"/>
          <w:sz w:val="24"/>
          <w:szCs w:val="24"/>
        </w:rPr>
        <w:t>399ХХХ123456</w:t>
      </w:r>
    </w:p>
    <w:p w14:paraId="4A242ADB" w14:textId="77777777" w:rsidR="005742F8" w:rsidRPr="0064554C" w:rsidRDefault="005742F8" w:rsidP="005742F8">
      <w:pPr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b/>
          <w:sz w:val="24"/>
          <w:szCs w:val="24"/>
        </w:rPr>
        <w:t>Код послуги ДКПП:</w:t>
      </w:r>
      <w:r w:rsidRPr="0064554C">
        <w:rPr>
          <w:rFonts w:ascii="Arial" w:hAnsi="Arial" w:cs="Arial"/>
          <w:sz w:val="24"/>
          <w:szCs w:val="24"/>
        </w:rPr>
        <w:t xml:space="preserve"> </w:t>
      </w:r>
      <w:r w:rsidRPr="0064554C">
        <w:rPr>
          <w:rFonts w:ascii="Arial" w:hAnsi="Arial" w:cs="Arial"/>
          <w:color w:val="0070C0"/>
          <w:sz w:val="24"/>
          <w:szCs w:val="24"/>
        </w:rPr>
        <w:t>41.00 (будівельні роботи)</w:t>
      </w:r>
    </w:p>
    <w:p w14:paraId="688CE0CF" w14:textId="77777777" w:rsidR="00316EB0" w:rsidRPr="0064554C" w:rsidRDefault="00D11D34">
      <w:pPr>
        <w:spacing w:before="240" w:after="160" w:line="276" w:lineRule="auto"/>
        <w:jc w:val="center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b/>
          <w:bCs/>
          <w:caps/>
          <w:sz w:val="24"/>
          <w:szCs w:val="24"/>
        </w:rPr>
        <w:t>І. Загальні відомості про платника та його діяльність</w:t>
      </w:r>
    </w:p>
    <w:p w14:paraId="7F994973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 xml:space="preserve">Товариство з обмеженою відповідальністю «ІНТЕРБУДСЕРВІС» (далі —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Товариство</w:t>
      </w:r>
      <w:r w:rsidRPr="0064554C">
        <w:rPr>
          <w:rFonts w:ascii="Arial" w:hAnsi="Arial" w:cs="Arial"/>
          <w:color w:val="0070C0"/>
          <w:sz w:val="24"/>
          <w:szCs w:val="24"/>
        </w:rPr>
        <w:t>) зареєстроване як юридична особа та платник ПДВ, здійснює діяльність у сфері загального будівництва будівель (КВЕД 41.20), у тому числі виконання підрядних та субпідрядних будівельних робіт.</w:t>
      </w:r>
    </w:p>
    <w:p w14:paraId="36A3C254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Товариство є сумлінним платником податків, своєчасно подає звітність та сплачує податки. На дату подання цих пояснень Товариство не має податкового боргу, не перебуває у стані ліквідації чи банкрутства.</w:t>
      </w:r>
    </w:p>
    <w:p w14:paraId="4362EC9A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 xml:space="preserve">26 грудня 2024 року Товариство склало та 14 січня 2025 року подало на реєстрацію до ЄРПН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податкову накладну № 4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 від 26.12.2024 на загальну суму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15 274 082,80 грн, у тому числі ПДВ — 2 545 680,47 грн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, складену за результатом здійснення господарської операції з виконання будівельних робіт на об'єкті «Житловий комплекс за </w:t>
      </w:r>
      <w:proofErr w:type="spellStart"/>
      <w:r w:rsidRPr="0064554C">
        <w:rPr>
          <w:rFonts w:ascii="Arial" w:hAnsi="Arial" w:cs="Arial"/>
          <w:color w:val="0070C0"/>
          <w:sz w:val="24"/>
          <w:szCs w:val="24"/>
        </w:rPr>
        <w:t>адресою</w:t>
      </w:r>
      <w:proofErr w:type="spellEnd"/>
      <w:r w:rsidRPr="0064554C">
        <w:rPr>
          <w:rFonts w:ascii="Arial" w:hAnsi="Arial" w:cs="Arial"/>
          <w:color w:val="0070C0"/>
          <w:sz w:val="24"/>
          <w:szCs w:val="24"/>
        </w:rPr>
        <w:t>: вул. Соборна, 77, м. Черкаси».</w:t>
      </w:r>
    </w:p>
    <w:p w14:paraId="451BB2DA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 xml:space="preserve">Відповідно до квитанції від 14 січня 2025 року реєстрацію зазначеної ПН </w:t>
      </w:r>
      <w:proofErr w:type="spellStart"/>
      <w:r w:rsidRPr="0064554C">
        <w:rPr>
          <w:rFonts w:ascii="Arial" w:hAnsi="Arial" w:cs="Arial"/>
          <w:color w:val="0070C0"/>
          <w:sz w:val="24"/>
          <w:szCs w:val="24"/>
        </w:rPr>
        <w:t>зупинено</w:t>
      </w:r>
      <w:proofErr w:type="spellEnd"/>
      <w:r w:rsidRPr="0064554C">
        <w:rPr>
          <w:rFonts w:ascii="Arial" w:hAnsi="Arial" w:cs="Arial"/>
          <w:color w:val="0070C0"/>
          <w:sz w:val="24"/>
          <w:szCs w:val="24"/>
        </w:rPr>
        <w:t xml:space="preserve"> на підставі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пункту 1 Критеріїв ризиковості здійснення операцій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 (Додаток 3 до Порядку № 1165): обсяг постачання послуги за кодом ДКПП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41.00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 перевищує величину залишку, визначеного як різниця між обсягом придбання такої послуги та обсягом її постачання.</w:t>
      </w:r>
    </w:p>
    <w:p w14:paraId="52A9260B" w14:textId="77777777" w:rsidR="00316EB0" w:rsidRPr="0064554C" w:rsidRDefault="00316EB0">
      <w:pPr>
        <w:spacing w:after="80"/>
        <w:rPr>
          <w:rFonts w:ascii="Arial" w:hAnsi="Arial" w:cs="Arial"/>
          <w:sz w:val="24"/>
          <w:szCs w:val="24"/>
        </w:rPr>
      </w:pPr>
    </w:p>
    <w:p w14:paraId="3E254D76" w14:textId="77777777" w:rsidR="00316EB0" w:rsidRPr="0064554C" w:rsidRDefault="00D11D34">
      <w:pPr>
        <w:spacing w:before="240" w:after="160" w:line="276" w:lineRule="auto"/>
        <w:jc w:val="center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b/>
          <w:bCs/>
          <w:caps/>
          <w:sz w:val="24"/>
          <w:szCs w:val="24"/>
        </w:rPr>
        <w:t>ІІ. Пояснення щодо суті господарської операції</w:t>
      </w:r>
    </w:p>
    <w:p w14:paraId="38197D10" w14:textId="77777777" w:rsidR="00316EB0" w:rsidRPr="0064554C" w:rsidRDefault="00D11D34">
      <w:pPr>
        <w:spacing w:before="120" w:after="80" w:line="276" w:lineRule="auto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b/>
          <w:bCs/>
          <w:sz w:val="24"/>
          <w:szCs w:val="24"/>
        </w:rPr>
        <w:lastRenderedPageBreak/>
        <w:t>2.1. Підстава виникнення операції</w:t>
      </w:r>
    </w:p>
    <w:p w14:paraId="44DF9672" w14:textId="12C00711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Між Товариством (Підрядник) та ТОВ «ЧЕРКАСЬКБУДПРО</w:t>
      </w:r>
      <w:r w:rsidR="0064554C">
        <w:rPr>
          <w:rFonts w:ascii="Arial" w:hAnsi="Arial" w:cs="Arial"/>
          <w:color w:val="0070C0"/>
          <w:sz w:val="24"/>
          <w:szCs w:val="24"/>
        </w:rPr>
        <w:t>Є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КТ» (Замовник) укладено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Договір підряду № 12/2024-БП від 05 квітня 2024 року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 (далі — Договір) на виконання комплексу будівельних робіт </w:t>
      </w:r>
      <w:r w:rsidR="0064554C">
        <w:rPr>
          <w:rFonts w:ascii="Arial" w:hAnsi="Arial" w:cs="Arial"/>
          <w:color w:val="0070C0"/>
          <w:sz w:val="24"/>
          <w:szCs w:val="24"/>
        </w:rPr>
        <w:t>і</w:t>
      </w:r>
      <w:r w:rsidRPr="0064554C">
        <w:rPr>
          <w:rFonts w:ascii="Arial" w:hAnsi="Arial" w:cs="Arial"/>
          <w:color w:val="0070C0"/>
          <w:sz w:val="24"/>
          <w:szCs w:val="24"/>
        </w:rPr>
        <w:t>з влаштування монолітного каркасу та цегляної кладки житлового комплексу.</w:t>
      </w:r>
    </w:p>
    <w:p w14:paraId="509B5FC4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 xml:space="preserve">Загальна вартість робіт за Договором становить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48 500 000,00 грн з ПДВ</w:t>
      </w:r>
      <w:r w:rsidRPr="0064554C">
        <w:rPr>
          <w:rFonts w:ascii="Arial" w:hAnsi="Arial" w:cs="Arial"/>
          <w:color w:val="0070C0"/>
          <w:sz w:val="24"/>
          <w:szCs w:val="24"/>
        </w:rPr>
        <w:t>. Строк виконання: квітень 2024 — грудень 2025 року. Оплата здійснюється поетапно — по мірі підписання актів виконаних робіт.</w:t>
      </w:r>
    </w:p>
    <w:p w14:paraId="73B5BF90" w14:textId="77777777" w:rsidR="00316EB0" w:rsidRPr="0064554C" w:rsidRDefault="00D11D34">
      <w:pPr>
        <w:spacing w:before="120" w:after="80" w:line="276" w:lineRule="auto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b/>
          <w:bCs/>
          <w:sz w:val="24"/>
          <w:szCs w:val="24"/>
        </w:rPr>
        <w:t>2.2. Чому обсяг постачання перевищує залишок придбань</w:t>
      </w:r>
    </w:p>
    <w:p w14:paraId="1E82DD98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 xml:space="preserve">Товариство є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підрядником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, а не перепродавцем послуг. Будівельні роботи з кодом ДКПП 41.00 виконуються Товариством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власними силами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 (власні працівники, власна та орендована техніка) із залученням матеріалів, придбаних за різними кодами УКТЗЕД (бетон, арматура, цегла тощо).</w:t>
      </w:r>
    </w:p>
    <w:p w14:paraId="1D7BC173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 xml:space="preserve">Таким чином,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вхідні коди придбань (матеріали) не збігаються з вихідним кодом постачання (будівельні роботи 41.00)</w:t>
      </w:r>
      <w:r w:rsidRPr="0064554C">
        <w:rPr>
          <w:rFonts w:ascii="Arial" w:hAnsi="Arial" w:cs="Arial"/>
          <w:color w:val="0070C0"/>
          <w:sz w:val="24"/>
          <w:szCs w:val="24"/>
        </w:rPr>
        <w:t>, що є природним для будь-якого підрядного підприємства і жодним чином не свідчить про ризик фіктивної операції.</w:t>
      </w:r>
    </w:p>
    <w:p w14:paraId="2FB91938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Перевищення обсягів постачання над придбаннями за кодом 41.00 пояснюється тим, що Товариство у IV кварталі 2024 року завершило великий обсяг робіт за Договором і виставило відповідний акт на суму 15 274 082,80 грн. При цьому "вхідні" ПН на матеріали оформлені за іншими кодами товарів і до показника залишку за кодом 41.00 не входять.</w:t>
      </w:r>
    </w:p>
    <w:p w14:paraId="6B0934E9" w14:textId="77777777" w:rsidR="00316EB0" w:rsidRPr="0064554C" w:rsidRDefault="00D11D34">
      <w:pPr>
        <w:spacing w:before="120" w:after="80" w:line="276" w:lineRule="auto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b/>
          <w:bCs/>
          <w:sz w:val="24"/>
          <w:szCs w:val="24"/>
        </w:rPr>
        <w:t>2.3. Обсяг фактично виконаних робіт</w:t>
      </w:r>
    </w:p>
    <w:p w14:paraId="5B3FB7FE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У грудні 2024 року Товариство завершило виконання наступного обсягу будівельних робіт, що підтверджується документально:</w:t>
      </w:r>
    </w:p>
    <w:p w14:paraId="36827419" w14:textId="77777777" w:rsidR="00316EB0" w:rsidRPr="0064554C" w:rsidRDefault="00D11D34">
      <w:pPr>
        <w:pStyle w:val="a4"/>
        <w:numPr>
          <w:ilvl w:val="0"/>
          <w:numId w:val="2"/>
        </w:numPr>
        <w:spacing w:before="60" w:after="60" w:line="276" w:lineRule="auto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влаштування монолітних конструкцій (фундаментна плита, перекриття 3–7 поверхів);</w:t>
      </w:r>
    </w:p>
    <w:p w14:paraId="45ACC158" w14:textId="77777777" w:rsidR="00316EB0" w:rsidRPr="0064554C" w:rsidRDefault="00D11D34">
      <w:pPr>
        <w:pStyle w:val="a4"/>
        <w:numPr>
          <w:ilvl w:val="0"/>
          <w:numId w:val="2"/>
        </w:numPr>
        <w:spacing w:before="60" w:after="60" w:line="276" w:lineRule="auto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кладка зовнішніх та внутрішніх стін з блоків газобетону;</w:t>
      </w:r>
    </w:p>
    <w:p w14:paraId="0F8213C7" w14:textId="77777777" w:rsidR="00316EB0" w:rsidRPr="0064554C" w:rsidRDefault="00D11D34">
      <w:pPr>
        <w:pStyle w:val="a4"/>
        <w:numPr>
          <w:ilvl w:val="0"/>
          <w:numId w:val="2"/>
        </w:numPr>
        <w:spacing w:before="60" w:after="60" w:line="276" w:lineRule="auto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монтаж сходових маршів та майданчиків;</w:t>
      </w:r>
    </w:p>
    <w:p w14:paraId="0C3D85B9" w14:textId="77777777" w:rsidR="00316EB0" w:rsidRPr="0064554C" w:rsidRDefault="00D11D34">
      <w:pPr>
        <w:pStyle w:val="a4"/>
        <w:numPr>
          <w:ilvl w:val="0"/>
          <w:numId w:val="2"/>
        </w:numPr>
        <w:spacing w:before="60" w:after="60" w:line="276" w:lineRule="auto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улаштування гідроізоляції підвального приміщення.</w:t>
      </w:r>
    </w:p>
    <w:p w14:paraId="2F3FC82D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 xml:space="preserve">Виконані роботи підтверджені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Актом приймання виконаних підрядних робіт (форма КБ-2в) № 7 від 26.12.2024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 та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Довідкою про вартість виконаних підрядних робіт і витрати (форма КБ-3) № 7 від 26.12.2024</w:t>
      </w:r>
      <w:r w:rsidRPr="0064554C">
        <w:rPr>
          <w:rFonts w:ascii="Arial" w:hAnsi="Arial" w:cs="Arial"/>
          <w:color w:val="0070C0"/>
          <w:sz w:val="24"/>
          <w:szCs w:val="24"/>
        </w:rPr>
        <w:t>, підписаними обома сторонами Договору.</w:t>
      </w:r>
    </w:p>
    <w:p w14:paraId="3CEF2224" w14:textId="77777777" w:rsidR="00316EB0" w:rsidRPr="0064554C" w:rsidRDefault="00D11D34">
      <w:pPr>
        <w:spacing w:before="120" w:after="80" w:line="276" w:lineRule="auto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b/>
          <w:bCs/>
          <w:sz w:val="24"/>
          <w:szCs w:val="24"/>
        </w:rPr>
        <w:t>2.4. Трудові ресурси та виробничі потужності</w:t>
      </w:r>
    </w:p>
    <w:p w14:paraId="3CFD96F8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 xml:space="preserve">Станом на грудень 2024 року в Товаристві офіційно </w:t>
      </w:r>
      <w:proofErr w:type="spellStart"/>
      <w:r w:rsidRPr="0064554C">
        <w:rPr>
          <w:rFonts w:ascii="Arial" w:hAnsi="Arial" w:cs="Arial"/>
          <w:color w:val="0070C0"/>
          <w:sz w:val="24"/>
          <w:szCs w:val="24"/>
        </w:rPr>
        <w:t>працевлаштовано</w:t>
      </w:r>
      <w:proofErr w:type="spellEnd"/>
      <w:r w:rsidRPr="0064554C">
        <w:rPr>
          <w:rFonts w:ascii="Arial" w:hAnsi="Arial" w:cs="Arial"/>
          <w:color w:val="0070C0"/>
          <w:sz w:val="24"/>
          <w:szCs w:val="24"/>
        </w:rPr>
        <w:t xml:space="preserve">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47 осіб</w:t>
      </w:r>
      <w:r w:rsidRPr="0064554C">
        <w:rPr>
          <w:rFonts w:ascii="Arial" w:hAnsi="Arial" w:cs="Arial"/>
          <w:color w:val="0070C0"/>
          <w:sz w:val="24"/>
          <w:szCs w:val="24"/>
        </w:rPr>
        <w:t>, у тому числі: 32 виробничих робітники (</w:t>
      </w:r>
      <w:proofErr w:type="spellStart"/>
      <w:r w:rsidRPr="0064554C">
        <w:rPr>
          <w:rFonts w:ascii="Arial" w:hAnsi="Arial" w:cs="Arial"/>
          <w:color w:val="0070C0"/>
          <w:sz w:val="24"/>
          <w:szCs w:val="24"/>
        </w:rPr>
        <w:t>монолітники</w:t>
      </w:r>
      <w:proofErr w:type="spellEnd"/>
      <w:r w:rsidRPr="0064554C">
        <w:rPr>
          <w:rFonts w:ascii="Arial" w:hAnsi="Arial" w:cs="Arial"/>
          <w:color w:val="0070C0"/>
          <w:sz w:val="24"/>
          <w:szCs w:val="24"/>
        </w:rPr>
        <w:t>, муляри, бетонники, теслі), 8 майстрів і виконробів, 7 осіб адміністративного персоналу. Середньомісячна заробітна плата перевищує мінімальну більш ніж у 2 рази.</w:t>
      </w:r>
    </w:p>
    <w:p w14:paraId="67958467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 xml:space="preserve">Товариство має у власності та в оренді необхідну техніку: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2 баштові крани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,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 xml:space="preserve">3 </w:t>
      </w:r>
      <w:proofErr w:type="spellStart"/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автобетонозмішувачі</w:t>
      </w:r>
      <w:proofErr w:type="spellEnd"/>
      <w:r w:rsidRPr="0064554C">
        <w:rPr>
          <w:rFonts w:ascii="Arial" w:hAnsi="Arial" w:cs="Arial"/>
          <w:color w:val="0070C0"/>
          <w:sz w:val="24"/>
          <w:szCs w:val="24"/>
        </w:rPr>
        <w:t>, опалубка, риштування. Копії відповідних документів додаються.</w:t>
      </w:r>
    </w:p>
    <w:p w14:paraId="6E055B3A" w14:textId="77777777" w:rsidR="00316EB0" w:rsidRPr="0064554C" w:rsidRDefault="00316EB0">
      <w:pPr>
        <w:spacing w:after="80"/>
        <w:rPr>
          <w:rFonts w:ascii="Arial" w:hAnsi="Arial" w:cs="Arial"/>
          <w:sz w:val="24"/>
          <w:szCs w:val="24"/>
        </w:rPr>
      </w:pPr>
    </w:p>
    <w:p w14:paraId="5E89AAEB" w14:textId="77777777" w:rsidR="00316EB0" w:rsidRPr="0064554C" w:rsidRDefault="00D11D34">
      <w:pPr>
        <w:spacing w:before="240" w:after="160" w:line="276" w:lineRule="auto"/>
        <w:jc w:val="center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b/>
          <w:bCs/>
          <w:caps/>
          <w:sz w:val="24"/>
          <w:szCs w:val="24"/>
        </w:rPr>
        <w:t>ІІІ. Правова позиція щодо меж моніторингу ПН</w:t>
      </w:r>
    </w:p>
    <w:p w14:paraId="626ED41C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 xml:space="preserve">Товариство наголошує, що відповідно до усталеної практики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Верховного Суду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 (постанова від 21.05.2019 у справі № 815/2791/18, постанова від 28.10.2021 у справі № 600/1819/20-а, постанова від 13.02.2024 у справі № 240/5563/23 та інші):</w:t>
      </w:r>
    </w:p>
    <w:p w14:paraId="50CC0EBD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«Здійснення моніторингу відповідності ПН/РК критеріям оцінки ступеня ризиків є превентивним заходом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 і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не повинно підміняти за своїм змістом проведення податкових перевірок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. Приймаючи рішення про реєстрацію ПН, контролюючий орган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не повинен здійснювати повний аналіз господарських операцій на предмет їх реальності</w:t>
      </w:r>
      <w:r w:rsidRPr="0064554C">
        <w:rPr>
          <w:rFonts w:ascii="Arial" w:hAnsi="Arial" w:cs="Arial"/>
          <w:color w:val="0070C0"/>
          <w:sz w:val="24"/>
          <w:szCs w:val="24"/>
        </w:rPr>
        <w:t>. Така оцінка може бути проведена лише за результатом податкової перевірки».</w:t>
      </w:r>
    </w:p>
    <w:p w14:paraId="3F5E36F6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 xml:space="preserve">Таким чином, під час процедури розгляду пояснень Комісія перевіряє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виключно формальні (зовнішні) ознаки операції</w:t>
      </w:r>
      <w:r w:rsidRPr="0064554C">
        <w:rPr>
          <w:rFonts w:ascii="Arial" w:hAnsi="Arial" w:cs="Arial"/>
          <w:color w:val="0070C0"/>
          <w:sz w:val="24"/>
          <w:szCs w:val="24"/>
        </w:rPr>
        <w:t>, а не реальність господарської діяльності по суті. Надані Товариством документи у своїй сукупності цілком достатні для підтвердження показників, зазначених у ПН.</w:t>
      </w:r>
    </w:p>
    <w:p w14:paraId="1C6F4E17" w14:textId="77777777" w:rsidR="00316EB0" w:rsidRPr="0064554C" w:rsidRDefault="00316EB0">
      <w:pPr>
        <w:spacing w:after="80"/>
        <w:rPr>
          <w:rFonts w:ascii="Arial" w:hAnsi="Arial" w:cs="Arial"/>
          <w:sz w:val="24"/>
          <w:szCs w:val="24"/>
        </w:rPr>
      </w:pPr>
    </w:p>
    <w:p w14:paraId="75139035" w14:textId="77777777" w:rsidR="00316EB0" w:rsidRPr="0064554C" w:rsidRDefault="00D11D34">
      <w:pPr>
        <w:spacing w:before="240" w:after="160" w:line="276" w:lineRule="auto"/>
        <w:jc w:val="center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b/>
          <w:bCs/>
          <w:caps/>
          <w:sz w:val="24"/>
          <w:szCs w:val="24"/>
        </w:rPr>
        <w:t>IV. Перелік документів, що додаються</w:t>
      </w:r>
    </w:p>
    <w:p w14:paraId="0A9048E1" w14:textId="77777777" w:rsidR="00316EB0" w:rsidRPr="0064554C" w:rsidRDefault="00316EB0">
      <w:pPr>
        <w:spacing w:after="60"/>
        <w:rPr>
          <w:rFonts w:ascii="Arial" w:hAnsi="Arial" w:cs="Arial"/>
          <w:sz w:val="24"/>
          <w:szCs w:val="24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5034"/>
        <w:gridCol w:w="1838"/>
        <w:gridCol w:w="1860"/>
      </w:tblGrid>
      <w:tr w:rsidR="00316EB0" w:rsidRPr="0064554C" w14:paraId="544E08CC" w14:textId="77777777">
        <w:trPr>
          <w:tblHeader/>
        </w:trPr>
        <w:tc>
          <w:tcPr>
            <w:tcW w:w="460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488A85" w14:textId="77777777" w:rsidR="00316EB0" w:rsidRPr="0064554C" w:rsidRDefault="00D11D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54C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F705A7" w14:textId="77777777" w:rsidR="00316EB0" w:rsidRPr="0064554C" w:rsidRDefault="00D11D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54C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Назва документа</w:t>
            </w:r>
          </w:p>
        </w:tc>
        <w:tc>
          <w:tcPr>
            <w:tcW w:w="1840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A0C2BD" w14:textId="77777777" w:rsidR="00316EB0" w:rsidRPr="0064554C" w:rsidRDefault="00D11D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54C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Дата / номер</w:t>
            </w:r>
          </w:p>
        </w:tc>
        <w:tc>
          <w:tcPr>
            <w:tcW w:w="1860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5BBC27" w14:textId="77777777" w:rsidR="00316EB0" w:rsidRPr="0064554C" w:rsidRDefault="00D11D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554C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Примітки</w:t>
            </w:r>
          </w:p>
        </w:tc>
      </w:tr>
      <w:tr w:rsidR="00292F88" w:rsidRPr="0064554C" w14:paraId="10FB3763" w14:textId="77777777">
        <w:tc>
          <w:tcPr>
            <w:tcW w:w="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B451C6" w14:textId="77777777" w:rsidR="00316EB0" w:rsidRPr="0064554C" w:rsidRDefault="00D11D3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B206B3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Договір підряду № 12/2024-БП</w:t>
            </w:r>
          </w:p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B7DED7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05.04.2024</w:t>
            </w: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ECA178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Зі специфікацією та додатками</w:t>
            </w:r>
          </w:p>
        </w:tc>
      </w:tr>
      <w:tr w:rsidR="00292F88" w:rsidRPr="0064554C" w14:paraId="7F11F799" w14:textId="77777777">
        <w:tc>
          <w:tcPr>
            <w:tcW w:w="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888CB0" w14:textId="77777777" w:rsidR="00316EB0" w:rsidRPr="0064554C" w:rsidRDefault="00D11D3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89F1FF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Акт приймання виконаних підрядних робіт (КБ-2в) № 7</w:t>
            </w:r>
          </w:p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15B2B9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26.12.2024</w:t>
            </w: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760E5D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Підписаний обома сторонами</w:t>
            </w:r>
          </w:p>
        </w:tc>
      </w:tr>
      <w:tr w:rsidR="00292F88" w:rsidRPr="0064554C" w14:paraId="3494287D" w14:textId="77777777">
        <w:tc>
          <w:tcPr>
            <w:tcW w:w="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54A569" w14:textId="77777777" w:rsidR="00316EB0" w:rsidRPr="0064554C" w:rsidRDefault="00D11D3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5A9EAA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Довідка про вартість виконаних робіт і витрати (КБ-3) № 7</w:t>
            </w:r>
          </w:p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859A6D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26.12.2024</w:t>
            </w: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822A0D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Підписана обома сторонами</w:t>
            </w:r>
          </w:p>
        </w:tc>
      </w:tr>
      <w:tr w:rsidR="00292F88" w:rsidRPr="0064554C" w14:paraId="1BD67551" w14:textId="77777777">
        <w:tc>
          <w:tcPr>
            <w:tcW w:w="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E20F50" w14:textId="77777777" w:rsidR="00316EB0" w:rsidRPr="0064554C" w:rsidRDefault="00D11D3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7249FA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Рахунок-фактура (інвойс) № 26/12-1</w:t>
            </w:r>
          </w:p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8CD476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26.12.2024</w:t>
            </w: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BF8823" w14:textId="77777777" w:rsidR="00316EB0" w:rsidRPr="0064554C" w:rsidRDefault="00316EB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292F88" w:rsidRPr="0064554C" w14:paraId="2BF20C80" w14:textId="77777777">
        <w:tc>
          <w:tcPr>
            <w:tcW w:w="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5F6CA9" w14:textId="77777777" w:rsidR="00316EB0" w:rsidRPr="0064554C" w:rsidRDefault="00D11D3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D846C5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Банківська виписка по рахунку (підтвердження оплати)</w:t>
            </w:r>
          </w:p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1FAFF6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14.01.2025</w:t>
            </w: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AE3347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Часткова оплата — 5 млн грн</w:t>
            </w:r>
          </w:p>
        </w:tc>
      </w:tr>
      <w:tr w:rsidR="00292F88" w:rsidRPr="0064554C" w14:paraId="1E6B7BF1" w14:textId="77777777">
        <w:tc>
          <w:tcPr>
            <w:tcW w:w="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D65EF1" w14:textId="77777777" w:rsidR="00316EB0" w:rsidRPr="0064554C" w:rsidRDefault="00D11D3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053896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Ліцензія на провадження господарської діяльності у будівництві</w:t>
            </w:r>
          </w:p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58C835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Чинна до 01.03.2027</w:t>
            </w: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055A71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Серія АВ № 123456</w:t>
            </w:r>
          </w:p>
        </w:tc>
      </w:tr>
      <w:tr w:rsidR="00292F88" w:rsidRPr="0064554C" w14:paraId="55ABD2C6" w14:textId="77777777">
        <w:tc>
          <w:tcPr>
            <w:tcW w:w="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7E8CB1" w14:textId="77777777" w:rsidR="00316EB0" w:rsidRPr="0064554C" w:rsidRDefault="00D11D3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8285C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Штатний розпис Товариства</w:t>
            </w:r>
          </w:p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6124E5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01.01.2024</w:t>
            </w: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D12601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47 штатних одиниць</w:t>
            </w:r>
          </w:p>
        </w:tc>
      </w:tr>
      <w:tr w:rsidR="00292F88" w:rsidRPr="0064554C" w14:paraId="748DFC6F" w14:textId="77777777">
        <w:tc>
          <w:tcPr>
            <w:tcW w:w="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C1CAAD" w14:textId="77777777" w:rsidR="00316EB0" w:rsidRPr="0064554C" w:rsidRDefault="00D11D3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891309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Відомість нарахування заробітної плати за грудень 2024</w:t>
            </w:r>
          </w:p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ABFEFB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Грудень 2024</w:t>
            </w: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61E4AA" w14:textId="77777777" w:rsidR="00316EB0" w:rsidRPr="0064554C" w:rsidRDefault="00316EB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292F88" w:rsidRPr="0064554C" w14:paraId="0D8B0FF3" w14:textId="77777777">
        <w:tc>
          <w:tcPr>
            <w:tcW w:w="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1A34C0" w14:textId="77777777" w:rsidR="00316EB0" w:rsidRPr="0064554C" w:rsidRDefault="00D11D3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9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665822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Договір оренди будівельних кранів № О-7 від 01.04.2024</w:t>
            </w:r>
          </w:p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4FD48A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01.04.2024</w:t>
            </w: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9970DA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2 баштових крани</w:t>
            </w:r>
          </w:p>
        </w:tc>
      </w:tr>
      <w:tr w:rsidR="00292F88" w:rsidRPr="0064554C" w14:paraId="79914BA5" w14:textId="77777777">
        <w:tc>
          <w:tcPr>
            <w:tcW w:w="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EF8BF6" w14:textId="77777777" w:rsidR="00316EB0" w:rsidRPr="0064554C" w:rsidRDefault="00D11D3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D91610" w14:textId="6BD764DF" w:rsidR="00316EB0" w:rsidRPr="0064554C" w:rsidRDefault="00D11D34" w:rsidP="0064554C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Копія Свідоцтва про реєстрацію ТОВ «ЧЕРКАСЬКБУДПРО</w:t>
            </w:r>
            <w:r w:rsidR="0064554C">
              <w:rPr>
                <w:rFonts w:ascii="Arial" w:hAnsi="Arial" w:cs="Arial"/>
                <w:color w:val="0070C0"/>
                <w:sz w:val="24"/>
                <w:szCs w:val="24"/>
              </w:rPr>
              <w:t>Є</w:t>
            </w: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КТ»</w:t>
            </w:r>
          </w:p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303869" w14:textId="77777777" w:rsidR="00316EB0" w:rsidRPr="0064554C" w:rsidRDefault="00316EB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F0CA64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ІПН покупця</w:t>
            </w:r>
          </w:p>
        </w:tc>
      </w:tr>
      <w:tr w:rsidR="00292F88" w:rsidRPr="0064554C" w14:paraId="34BB1CE5" w14:textId="77777777">
        <w:tc>
          <w:tcPr>
            <w:tcW w:w="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0FF9AB" w14:textId="77777777" w:rsidR="00316EB0" w:rsidRPr="0064554C" w:rsidRDefault="00D11D3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11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9F15C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Витяг з ЄДР щодо ТОВ «ІНТЕРБУДСЕРВІС»</w:t>
            </w:r>
          </w:p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DD20E6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14.01.2025</w:t>
            </w: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440687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Актуальний</w:t>
            </w:r>
          </w:p>
        </w:tc>
      </w:tr>
      <w:tr w:rsidR="00292F88" w:rsidRPr="0064554C" w14:paraId="28EC56AB" w14:textId="77777777">
        <w:tc>
          <w:tcPr>
            <w:tcW w:w="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504B58" w14:textId="77777777" w:rsidR="00316EB0" w:rsidRPr="0064554C" w:rsidRDefault="00D11D3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12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6733C0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Довідка про відсутність податкового боргу</w:t>
            </w:r>
          </w:p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394336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14.01.2025</w:t>
            </w:r>
          </w:p>
        </w:tc>
        <w:tc>
          <w:tcPr>
            <w:tcW w:w="1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D44F20" w14:textId="77777777" w:rsidR="00316EB0" w:rsidRPr="0064554C" w:rsidRDefault="00D11D3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 xml:space="preserve">Видана ГУ ДПС у </w:t>
            </w:r>
            <w:proofErr w:type="spellStart"/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Черк</w:t>
            </w:r>
            <w:proofErr w:type="spellEnd"/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. обл.</w:t>
            </w:r>
          </w:p>
        </w:tc>
      </w:tr>
    </w:tbl>
    <w:p w14:paraId="0DC5A202" w14:textId="77777777" w:rsidR="00316EB0" w:rsidRPr="0064554C" w:rsidRDefault="00316EB0">
      <w:pPr>
        <w:spacing w:after="120"/>
        <w:rPr>
          <w:rFonts w:ascii="Arial" w:hAnsi="Arial" w:cs="Arial"/>
          <w:color w:val="0070C0"/>
          <w:sz w:val="24"/>
          <w:szCs w:val="24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292F88" w:rsidRPr="0064554C" w14:paraId="5F6CF97E" w14:textId="77777777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1E4EFEE" w14:textId="77777777" w:rsidR="00316EB0" w:rsidRPr="0064554C" w:rsidRDefault="00D11D34">
            <w:pPr>
              <w:spacing w:before="40" w:after="40" w:line="276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Щодо окремих документів, зазначених у повідомленні Комісії від 20.01.2025:</w:t>
            </w:r>
          </w:p>
          <w:p w14:paraId="76D5690E" w14:textId="77777777" w:rsidR="00316EB0" w:rsidRPr="0064554C" w:rsidRDefault="00D11D34">
            <w:pPr>
              <w:spacing w:before="40" w:after="40" w:line="276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 xml:space="preserve">Договори цивільно-правового характеру (ЦПХ) </w:t>
            </w:r>
            <w:r w:rsidRPr="0064554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відсутні</w:t>
            </w:r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, оскільки всі роботи виконуються виключно штатними працівниками Товариства на підставі трудових договорів. Залучення сторонніх фізичних осіб за ЦПХ у грудні 2024 року не здійснювалося. Підтвердженням є штатний розпис та відомість нарахування заробітної плати (додаються).</w:t>
            </w:r>
          </w:p>
          <w:p w14:paraId="742C37FE" w14:textId="77777777" w:rsidR="00316EB0" w:rsidRPr="0064554C" w:rsidRDefault="00D11D34">
            <w:pPr>
              <w:spacing w:before="40" w:after="40" w:line="276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Проєктна</w:t>
            </w:r>
            <w:proofErr w:type="spellEnd"/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 xml:space="preserve"> документація знаходиться у Замовника — ТОВ «ЧЕРКАСЬКБУДПРОЕКТ» як власника </w:t>
            </w:r>
            <w:proofErr w:type="spellStart"/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проєкту</w:t>
            </w:r>
            <w:proofErr w:type="spellEnd"/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 xml:space="preserve">. Відповідно до умов Договору підряду (п. 3.2) Замовник забезпечує Підрядника робочою документацією. Товариство не є розробником </w:t>
            </w:r>
            <w:proofErr w:type="spellStart"/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>проєктної</w:t>
            </w:r>
            <w:proofErr w:type="spellEnd"/>
            <w:r w:rsidRPr="0064554C">
              <w:rPr>
                <w:rFonts w:ascii="Arial" w:hAnsi="Arial" w:cs="Arial"/>
                <w:color w:val="0070C0"/>
                <w:sz w:val="24"/>
                <w:szCs w:val="24"/>
              </w:rPr>
              <w:t xml:space="preserve"> документації і не зобов'язане її зберігати. Наявність Товариства на об'єкті підтверджується актами КБ-2в/КБ-3.</w:t>
            </w:r>
          </w:p>
        </w:tc>
      </w:tr>
    </w:tbl>
    <w:p w14:paraId="72AC381A" w14:textId="77777777" w:rsidR="00316EB0" w:rsidRPr="0064554C" w:rsidRDefault="00316EB0">
      <w:pPr>
        <w:spacing w:after="120"/>
        <w:rPr>
          <w:rFonts w:ascii="Arial" w:hAnsi="Arial" w:cs="Arial"/>
          <w:sz w:val="24"/>
          <w:szCs w:val="24"/>
        </w:rPr>
      </w:pPr>
    </w:p>
    <w:p w14:paraId="53F13BC6" w14:textId="77777777" w:rsidR="00316EB0" w:rsidRPr="0064554C" w:rsidRDefault="00D11D34">
      <w:pPr>
        <w:spacing w:before="240" w:after="160" w:line="276" w:lineRule="auto"/>
        <w:jc w:val="center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b/>
          <w:bCs/>
          <w:caps/>
          <w:sz w:val="24"/>
          <w:szCs w:val="24"/>
        </w:rPr>
        <w:t>V. Прохання</w:t>
      </w:r>
    </w:p>
    <w:p w14:paraId="688EFE5B" w14:textId="77777777" w:rsidR="00316EB0" w:rsidRPr="0064554C" w:rsidRDefault="00D11D34">
      <w:pPr>
        <w:spacing w:after="80" w:line="276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 xml:space="preserve">Враховуючи викладене та керуючись </w:t>
      </w:r>
      <w:r w:rsidRPr="0064554C">
        <w:rPr>
          <w:rFonts w:ascii="Arial" w:hAnsi="Arial" w:cs="Arial"/>
          <w:b/>
          <w:bCs/>
          <w:color w:val="0070C0"/>
          <w:sz w:val="24"/>
          <w:szCs w:val="24"/>
        </w:rPr>
        <w:t>пунктом 4 Порядку прийняття рішень про реєстрацію/відмову в реєстрації ПН/РК в ЄРПН</w:t>
      </w:r>
      <w:r w:rsidRPr="0064554C">
        <w:rPr>
          <w:rFonts w:ascii="Arial" w:hAnsi="Arial" w:cs="Arial"/>
          <w:color w:val="0070C0"/>
          <w:sz w:val="24"/>
          <w:szCs w:val="24"/>
        </w:rPr>
        <w:t>, затвердженого наказом МФУ від 12.12.2019 № 520 (у редакції наказу від 12.01.2023 № 19), Товариство просить:</w:t>
      </w:r>
    </w:p>
    <w:p w14:paraId="50C0EAAF" w14:textId="77777777" w:rsidR="00316EB0" w:rsidRPr="0064554C" w:rsidRDefault="00316EB0">
      <w:pPr>
        <w:spacing w:after="40"/>
        <w:rPr>
          <w:rFonts w:ascii="Arial" w:hAnsi="Arial" w:cs="Arial"/>
          <w:color w:val="0070C0"/>
          <w:sz w:val="24"/>
          <w:szCs w:val="24"/>
        </w:rPr>
      </w:pPr>
    </w:p>
    <w:p w14:paraId="13F81E8F" w14:textId="39FC792A" w:rsidR="005742F8" w:rsidRPr="0064554C" w:rsidRDefault="005742F8" w:rsidP="002E7966">
      <w:pPr>
        <w:pStyle w:val="a4"/>
        <w:numPr>
          <w:ilvl w:val="0"/>
          <w:numId w:val="3"/>
        </w:numPr>
        <w:spacing w:before="60" w:after="60" w:line="276" w:lineRule="auto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 xml:space="preserve">розглянути </w:t>
      </w:r>
      <w:r w:rsidR="0064554C">
        <w:rPr>
          <w:rFonts w:ascii="Arial" w:hAnsi="Arial" w:cs="Arial"/>
          <w:color w:val="0070C0"/>
          <w:sz w:val="24"/>
          <w:szCs w:val="24"/>
        </w:rPr>
        <w:t>це</w:t>
      </w:r>
      <w:r w:rsidRPr="0064554C">
        <w:rPr>
          <w:rFonts w:ascii="Arial" w:hAnsi="Arial" w:cs="Arial"/>
          <w:color w:val="0070C0"/>
          <w:sz w:val="24"/>
          <w:szCs w:val="24"/>
        </w:rPr>
        <w:t xml:space="preserve"> пояснення та додані документи (їх копії),</w:t>
      </w:r>
    </w:p>
    <w:p w14:paraId="30B90567" w14:textId="77777777" w:rsidR="005742F8" w:rsidRPr="0064554C" w:rsidRDefault="005742F8" w:rsidP="002E7966">
      <w:pPr>
        <w:pStyle w:val="a4"/>
        <w:numPr>
          <w:ilvl w:val="0"/>
          <w:numId w:val="3"/>
        </w:numPr>
        <w:spacing w:before="60" w:after="60" w:line="276" w:lineRule="auto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прийняти рішення про реєстрацію податкової накладної № 4 від 26.12.2024 року в ЄРПН,</w:t>
      </w:r>
    </w:p>
    <w:p w14:paraId="451115C3" w14:textId="77777777" w:rsidR="00316EB0" w:rsidRPr="0064554C" w:rsidRDefault="005742F8" w:rsidP="005742F8">
      <w:pPr>
        <w:pStyle w:val="a4"/>
        <w:numPr>
          <w:ilvl w:val="0"/>
          <w:numId w:val="3"/>
        </w:numPr>
        <w:spacing w:before="60" w:after="60" w:line="276" w:lineRule="auto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_________________ .</w:t>
      </w:r>
    </w:p>
    <w:p w14:paraId="3B7CAF69" w14:textId="77777777" w:rsidR="00316EB0" w:rsidRPr="0064554C" w:rsidRDefault="00316EB0">
      <w:pPr>
        <w:spacing w:after="160"/>
        <w:rPr>
          <w:rFonts w:ascii="Arial" w:hAnsi="Arial" w:cs="Arial"/>
          <w:sz w:val="24"/>
          <w:szCs w:val="24"/>
        </w:rPr>
      </w:pPr>
    </w:p>
    <w:p w14:paraId="39621341" w14:textId="77777777" w:rsidR="00316EB0" w:rsidRPr="0064554C" w:rsidRDefault="00D11D34">
      <w:pPr>
        <w:tabs>
          <w:tab w:val="left" w:pos="5760"/>
        </w:tabs>
        <w:spacing w:after="80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sz w:val="24"/>
          <w:szCs w:val="24"/>
        </w:rPr>
        <w:t>Директор ТОВ «</w:t>
      </w:r>
      <w:r w:rsidRPr="0064554C">
        <w:rPr>
          <w:rFonts w:ascii="Arial" w:hAnsi="Arial" w:cs="Arial"/>
          <w:color w:val="0070C0"/>
          <w:sz w:val="24"/>
          <w:szCs w:val="24"/>
        </w:rPr>
        <w:t>ІНТЕРБУДСЕРВІС</w:t>
      </w:r>
      <w:r w:rsidRPr="0064554C">
        <w:rPr>
          <w:rFonts w:ascii="Arial" w:hAnsi="Arial" w:cs="Arial"/>
          <w:sz w:val="24"/>
          <w:szCs w:val="24"/>
        </w:rPr>
        <w:t>»</w:t>
      </w:r>
      <w:r w:rsidRPr="0064554C">
        <w:rPr>
          <w:rFonts w:ascii="Arial" w:hAnsi="Arial" w:cs="Arial"/>
          <w:sz w:val="24"/>
          <w:szCs w:val="24"/>
        </w:rPr>
        <w:tab/>
      </w:r>
      <w:r w:rsidRPr="0064554C">
        <w:rPr>
          <w:rFonts w:ascii="Arial" w:hAnsi="Arial" w:cs="Arial"/>
          <w:color w:val="0070C0"/>
          <w:sz w:val="24"/>
          <w:szCs w:val="24"/>
        </w:rPr>
        <w:t>_____________ /П.П. Петренко/</w:t>
      </w:r>
    </w:p>
    <w:p w14:paraId="028982BA" w14:textId="77777777" w:rsidR="00316EB0" w:rsidRPr="0064554C" w:rsidRDefault="00316EB0">
      <w:pPr>
        <w:spacing w:after="80"/>
        <w:rPr>
          <w:rFonts w:ascii="Arial" w:hAnsi="Arial" w:cs="Arial"/>
          <w:sz w:val="24"/>
          <w:szCs w:val="24"/>
        </w:rPr>
      </w:pPr>
    </w:p>
    <w:p w14:paraId="7068D270" w14:textId="77777777" w:rsidR="00316EB0" w:rsidRPr="0064554C" w:rsidRDefault="00D11D34">
      <w:pPr>
        <w:spacing w:after="80" w:line="276" w:lineRule="auto"/>
        <w:rPr>
          <w:rFonts w:ascii="Arial" w:hAnsi="Arial" w:cs="Arial"/>
          <w:color w:val="0070C0"/>
          <w:sz w:val="24"/>
          <w:szCs w:val="24"/>
        </w:rPr>
      </w:pPr>
      <w:r w:rsidRPr="0064554C">
        <w:rPr>
          <w:rFonts w:ascii="Arial" w:hAnsi="Arial" w:cs="Arial"/>
          <w:color w:val="0070C0"/>
          <w:sz w:val="24"/>
          <w:szCs w:val="24"/>
        </w:rPr>
        <w:t>м. Черкаси, 25 січня 2025 року</w:t>
      </w:r>
    </w:p>
    <w:p w14:paraId="005E0DBA" w14:textId="77777777" w:rsidR="00292F88" w:rsidRPr="0064554C" w:rsidRDefault="00292F88">
      <w:pPr>
        <w:spacing w:after="80" w:line="276" w:lineRule="auto"/>
        <w:rPr>
          <w:rFonts w:ascii="Arial" w:hAnsi="Arial" w:cs="Arial"/>
          <w:sz w:val="24"/>
          <w:szCs w:val="24"/>
        </w:rPr>
      </w:pPr>
    </w:p>
    <w:p w14:paraId="33414681" w14:textId="77777777" w:rsidR="00292F88" w:rsidRPr="0064554C" w:rsidRDefault="00292F88">
      <w:pPr>
        <w:spacing w:after="80" w:line="276" w:lineRule="auto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sz w:val="24"/>
          <w:szCs w:val="24"/>
        </w:rPr>
        <w:t>ДОДАТКИ:</w:t>
      </w:r>
    </w:p>
    <w:p w14:paraId="6A3A839A" w14:textId="77777777" w:rsidR="00292F88" w:rsidRPr="0064554C" w:rsidRDefault="00292F88">
      <w:pPr>
        <w:spacing w:after="80" w:line="276" w:lineRule="auto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sz w:val="24"/>
          <w:szCs w:val="24"/>
        </w:rPr>
        <w:t>_________________________</w:t>
      </w:r>
    </w:p>
    <w:p w14:paraId="61D790C5" w14:textId="77777777" w:rsidR="00316EB0" w:rsidRPr="0064554C" w:rsidRDefault="00316EB0">
      <w:pPr>
        <w:pBdr>
          <w:bottom w:val="single" w:sz="4" w:space="1" w:color="AAAAAA"/>
        </w:pBdr>
        <w:spacing w:before="160" w:after="160"/>
        <w:rPr>
          <w:rFonts w:ascii="Arial" w:hAnsi="Arial" w:cs="Arial"/>
          <w:sz w:val="24"/>
          <w:szCs w:val="24"/>
        </w:rPr>
      </w:pPr>
    </w:p>
    <w:p w14:paraId="25D9D000" w14:textId="77777777" w:rsidR="00316EB0" w:rsidRPr="0064554C" w:rsidRDefault="00D11D34">
      <w:pPr>
        <w:spacing w:before="160" w:after="80"/>
        <w:jc w:val="center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b/>
          <w:bCs/>
          <w:color w:val="C00000"/>
          <w:sz w:val="24"/>
          <w:szCs w:val="24"/>
        </w:rPr>
        <w:t>ПРИМІТКИ ДО ЗРАЗКА (видалити перед поданням)</w:t>
      </w:r>
    </w:p>
    <w:p w14:paraId="300D6233" w14:textId="77777777" w:rsidR="00316EB0" w:rsidRPr="0064554C" w:rsidRDefault="00D11D34">
      <w:pPr>
        <w:pStyle w:val="a4"/>
        <w:numPr>
          <w:ilvl w:val="0"/>
          <w:numId w:val="2"/>
        </w:num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sz w:val="24"/>
          <w:szCs w:val="24"/>
        </w:rPr>
        <w:t>Усі реквізити (назва підприємства, коди, суми, дати, прізвища, адреси) є умовними та змодельовані за фактичними обставинами справи № 580/1932/25. Замініть їх на реальні дані вашого підприємства.</w:t>
      </w:r>
    </w:p>
    <w:p w14:paraId="0C7CFBF9" w14:textId="77777777" w:rsidR="00316EB0" w:rsidRPr="0064554C" w:rsidRDefault="00D11D34">
      <w:pPr>
        <w:pStyle w:val="a4"/>
        <w:numPr>
          <w:ilvl w:val="0"/>
          <w:numId w:val="2"/>
        </w:num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sz w:val="24"/>
          <w:szCs w:val="24"/>
        </w:rPr>
        <w:t>Перелік документів у таблиці (Розділ IV) — орієнтовний. Додайте або видаліть рядки відповідно до фактично наявних документів. Не включайте до переліку документи, яких у вас немає: якщо документ зазначений, а не доданий — це підстава для відмови.</w:t>
      </w:r>
    </w:p>
    <w:p w14:paraId="31DB30D6" w14:textId="77777777" w:rsidR="00316EB0" w:rsidRPr="0064554C" w:rsidRDefault="00D11D34">
      <w:pPr>
        <w:pStyle w:val="a4"/>
        <w:numPr>
          <w:ilvl w:val="0"/>
          <w:numId w:val="2"/>
        </w:num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sz w:val="24"/>
          <w:szCs w:val="24"/>
        </w:rPr>
        <w:t xml:space="preserve">Виноска у сірому блоці (щодо ЦПХ та </w:t>
      </w:r>
      <w:proofErr w:type="spellStart"/>
      <w:r w:rsidRPr="0064554C">
        <w:rPr>
          <w:rFonts w:ascii="Arial" w:hAnsi="Arial" w:cs="Arial"/>
          <w:sz w:val="24"/>
          <w:szCs w:val="24"/>
        </w:rPr>
        <w:t>проєктної</w:t>
      </w:r>
      <w:proofErr w:type="spellEnd"/>
      <w:r w:rsidRPr="0064554C">
        <w:rPr>
          <w:rFonts w:ascii="Arial" w:hAnsi="Arial" w:cs="Arial"/>
          <w:sz w:val="24"/>
          <w:szCs w:val="24"/>
        </w:rPr>
        <w:t xml:space="preserve"> документації) є прикладом пояснення причин відсутності певних документів. Якщо у вашому випадку ситуація інша — викладіть свою аргументацію.</w:t>
      </w:r>
    </w:p>
    <w:p w14:paraId="40ED501E" w14:textId="77777777" w:rsidR="00727531" w:rsidRPr="0064554C" w:rsidRDefault="00D11D34" w:rsidP="00221D06">
      <w:pPr>
        <w:pStyle w:val="a4"/>
        <w:numPr>
          <w:ilvl w:val="0"/>
          <w:numId w:val="2"/>
        </w:num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sz w:val="24"/>
          <w:szCs w:val="24"/>
        </w:rPr>
        <w:t>Пояснення подаються в електронній ф</w:t>
      </w:r>
      <w:r w:rsidR="00727531" w:rsidRPr="0064554C">
        <w:rPr>
          <w:rFonts w:ascii="Arial" w:hAnsi="Arial" w:cs="Arial"/>
          <w:sz w:val="24"/>
          <w:szCs w:val="24"/>
        </w:rPr>
        <w:t>ормі через Електронний кабінет</w:t>
      </w:r>
      <w:r w:rsidRPr="0064554C">
        <w:rPr>
          <w:rFonts w:ascii="Arial" w:hAnsi="Arial" w:cs="Arial"/>
          <w:sz w:val="24"/>
          <w:szCs w:val="24"/>
        </w:rPr>
        <w:t xml:space="preserve">, підписані КЕП директора або уповноваженої особи. </w:t>
      </w:r>
    </w:p>
    <w:p w14:paraId="6B276896" w14:textId="77777777" w:rsidR="00316EB0" w:rsidRPr="0064554C" w:rsidRDefault="00D11D34" w:rsidP="00221D06">
      <w:pPr>
        <w:pStyle w:val="a4"/>
        <w:numPr>
          <w:ilvl w:val="0"/>
          <w:numId w:val="2"/>
        </w:num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sz w:val="24"/>
          <w:szCs w:val="24"/>
        </w:rPr>
        <w:t>Якщо Комісія надіслала Повідомлення (форма J/F1312601) з уточненим переліком документів — відповідайте на нього окремим листом із посиланням на номер повідомлення. У такому разі структура пояснень залишається аналогічною, але акцент робиться на конкретно запитаних документах.</w:t>
      </w:r>
    </w:p>
    <w:p w14:paraId="61E42C97" w14:textId="4C9E8899" w:rsidR="00316EB0" w:rsidRPr="0064554C" w:rsidRDefault="00D11D34">
      <w:pPr>
        <w:pStyle w:val="a4"/>
        <w:numPr>
          <w:ilvl w:val="0"/>
          <w:numId w:val="2"/>
        </w:num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64554C">
        <w:rPr>
          <w:rFonts w:ascii="Arial" w:hAnsi="Arial" w:cs="Arial"/>
          <w:sz w:val="24"/>
          <w:szCs w:val="24"/>
        </w:rPr>
        <w:t xml:space="preserve">Правова позиція (Розділ ІІІ) є важливою частиною пояснень і демонструє Комісії, що платник знає свої права. Практика </w:t>
      </w:r>
      <w:r w:rsidR="0064554C">
        <w:rPr>
          <w:rFonts w:ascii="Arial" w:hAnsi="Arial" w:cs="Arial"/>
          <w:sz w:val="24"/>
          <w:szCs w:val="24"/>
        </w:rPr>
        <w:t>свідчить</w:t>
      </w:r>
      <w:bookmarkStart w:id="0" w:name="_GoBack"/>
      <w:bookmarkEnd w:id="0"/>
      <w:r w:rsidRPr="0064554C">
        <w:rPr>
          <w:rFonts w:ascii="Arial" w:hAnsi="Arial" w:cs="Arial"/>
          <w:sz w:val="24"/>
          <w:szCs w:val="24"/>
        </w:rPr>
        <w:t>: якщо справа доходить до суду, наявність грамотної правової позиції вже на етапі пояснень значно посилює позицію платника.</w:t>
      </w:r>
    </w:p>
    <w:sectPr w:rsidR="00316EB0" w:rsidRPr="0064554C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64E3"/>
    <w:multiLevelType w:val="hybridMultilevel"/>
    <w:tmpl w:val="59EC251A"/>
    <w:lvl w:ilvl="0" w:tplc="DACA18E0">
      <w:start w:val="1"/>
      <w:numFmt w:val="bullet"/>
      <w:lvlText w:val="●"/>
      <w:lvlJc w:val="left"/>
      <w:pPr>
        <w:ind w:left="720" w:hanging="360"/>
      </w:pPr>
    </w:lvl>
    <w:lvl w:ilvl="1" w:tplc="9AA0764E">
      <w:start w:val="1"/>
      <w:numFmt w:val="bullet"/>
      <w:lvlText w:val="○"/>
      <w:lvlJc w:val="left"/>
      <w:pPr>
        <w:ind w:left="1440" w:hanging="360"/>
      </w:pPr>
    </w:lvl>
    <w:lvl w:ilvl="2" w:tplc="2EE47190">
      <w:start w:val="1"/>
      <w:numFmt w:val="bullet"/>
      <w:lvlText w:val="■"/>
      <w:lvlJc w:val="left"/>
      <w:pPr>
        <w:ind w:left="2160" w:hanging="360"/>
      </w:pPr>
    </w:lvl>
    <w:lvl w:ilvl="3" w:tplc="43B85BC4">
      <w:start w:val="1"/>
      <w:numFmt w:val="bullet"/>
      <w:lvlText w:val="●"/>
      <w:lvlJc w:val="left"/>
      <w:pPr>
        <w:ind w:left="2880" w:hanging="360"/>
      </w:pPr>
    </w:lvl>
    <w:lvl w:ilvl="4" w:tplc="E1389E20">
      <w:start w:val="1"/>
      <w:numFmt w:val="bullet"/>
      <w:lvlText w:val="○"/>
      <w:lvlJc w:val="left"/>
      <w:pPr>
        <w:ind w:left="3600" w:hanging="360"/>
      </w:pPr>
    </w:lvl>
    <w:lvl w:ilvl="5" w:tplc="C2D01D94">
      <w:start w:val="1"/>
      <w:numFmt w:val="bullet"/>
      <w:lvlText w:val="■"/>
      <w:lvlJc w:val="left"/>
      <w:pPr>
        <w:ind w:left="4320" w:hanging="360"/>
      </w:pPr>
    </w:lvl>
    <w:lvl w:ilvl="6" w:tplc="001A21E4">
      <w:start w:val="1"/>
      <w:numFmt w:val="bullet"/>
      <w:lvlText w:val="●"/>
      <w:lvlJc w:val="left"/>
      <w:pPr>
        <w:ind w:left="5040" w:hanging="360"/>
      </w:pPr>
    </w:lvl>
    <w:lvl w:ilvl="7" w:tplc="76729712">
      <w:start w:val="1"/>
      <w:numFmt w:val="bullet"/>
      <w:lvlText w:val="●"/>
      <w:lvlJc w:val="left"/>
      <w:pPr>
        <w:ind w:left="5760" w:hanging="360"/>
      </w:pPr>
    </w:lvl>
    <w:lvl w:ilvl="8" w:tplc="12885ED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7271CBA"/>
    <w:multiLevelType w:val="hybridMultilevel"/>
    <w:tmpl w:val="8B7C8A40"/>
    <w:lvl w:ilvl="0" w:tplc="2C0C0E42">
      <w:start w:val="1"/>
      <w:numFmt w:val="bullet"/>
      <w:lvlText w:val="–"/>
      <w:lvlJc w:val="left"/>
      <w:pPr>
        <w:ind w:left="720" w:hanging="360"/>
      </w:pPr>
    </w:lvl>
    <w:lvl w:ilvl="1" w:tplc="4CD60A76">
      <w:numFmt w:val="decimal"/>
      <w:lvlText w:val=""/>
      <w:lvlJc w:val="left"/>
    </w:lvl>
    <w:lvl w:ilvl="2" w:tplc="ABD0EF10">
      <w:numFmt w:val="decimal"/>
      <w:lvlText w:val=""/>
      <w:lvlJc w:val="left"/>
    </w:lvl>
    <w:lvl w:ilvl="3" w:tplc="CBC4C62A">
      <w:numFmt w:val="decimal"/>
      <w:lvlText w:val=""/>
      <w:lvlJc w:val="left"/>
    </w:lvl>
    <w:lvl w:ilvl="4" w:tplc="CD2814FA">
      <w:numFmt w:val="decimal"/>
      <w:lvlText w:val=""/>
      <w:lvlJc w:val="left"/>
    </w:lvl>
    <w:lvl w:ilvl="5" w:tplc="F99C67EE">
      <w:numFmt w:val="decimal"/>
      <w:lvlText w:val=""/>
      <w:lvlJc w:val="left"/>
    </w:lvl>
    <w:lvl w:ilvl="6" w:tplc="A08EDFB0">
      <w:numFmt w:val="decimal"/>
      <w:lvlText w:val=""/>
      <w:lvlJc w:val="left"/>
    </w:lvl>
    <w:lvl w:ilvl="7" w:tplc="0E08C3DC">
      <w:numFmt w:val="decimal"/>
      <w:lvlText w:val=""/>
      <w:lvlJc w:val="left"/>
    </w:lvl>
    <w:lvl w:ilvl="8" w:tplc="7ABCDC24">
      <w:numFmt w:val="decimal"/>
      <w:lvlText w:val=""/>
      <w:lvlJc w:val="left"/>
    </w:lvl>
  </w:abstractNum>
  <w:abstractNum w:abstractNumId="2" w15:restartNumberingAfterBreak="0">
    <w:nsid w:val="7DFB54EC"/>
    <w:multiLevelType w:val="hybridMultilevel"/>
    <w:tmpl w:val="584E33BE"/>
    <w:lvl w:ilvl="0" w:tplc="718C9E7C">
      <w:start w:val="1"/>
      <w:numFmt w:val="decimal"/>
      <w:lvlText w:val="%1."/>
      <w:lvlJc w:val="left"/>
      <w:pPr>
        <w:ind w:left="720" w:hanging="360"/>
      </w:pPr>
    </w:lvl>
    <w:lvl w:ilvl="1" w:tplc="6C4E47A4">
      <w:numFmt w:val="decimal"/>
      <w:lvlText w:val=""/>
      <w:lvlJc w:val="left"/>
    </w:lvl>
    <w:lvl w:ilvl="2" w:tplc="BE0EAAE6">
      <w:numFmt w:val="decimal"/>
      <w:lvlText w:val=""/>
      <w:lvlJc w:val="left"/>
    </w:lvl>
    <w:lvl w:ilvl="3" w:tplc="E7985358">
      <w:numFmt w:val="decimal"/>
      <w:lvlText w:val=""/>
      <w:lvlJc w:val="left"/>
    </w:lvl>
    <w:lvl w:ilvl="4" w:tplc="EB0E0B58">
      <w:numFmt w:val="decimal"/>
      <w:lvlText w:val=""/>
      <w:lvlJc w:val="left"/>
    </w:lvl>
    <w:lvl w:ilvl="5" w:tplc="A1F24B76">
      <w:numFmt w:val="decimal"/>
      <w:lvlText w:val=""/>
      <w:lvlJc w:val="left"/>
    </w:lvl>
    <w:lvl w:ilvl="6" w:tplc="8472A206">
      <w:numFmt w:val="decimal"/>
      <w:lvlText w:val=""/>
      <w:lvlJc w:val="left"/>
    </w:lvl>
    <w:lvl w:ilvl="7" w:tplc="5C5CC12E">
      <w:numFmt w:val="decimal"/>
      <w:lvlText w:val=""/>
      <w:lvlJc w:val="left"/>
    </w:lvl>
    <w:lvl w:ilvl="8" w:tplc="77929E2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B0"/>
    <w:rsid w:val="001146F4"/>
    <w:rsid w:val="00292F88"/>
    <w:rsid w:val="00316EB0"/>
    <w:rsid w:val="005742F8"/>
    <w:rsid w:val="0064554C"/>
    <w:rsid w:val="00727531"/>
    <w:rsid w:val="00A740A8"/>
    <w:rsid w:val="00D11D34"/>
    <w:rsid w:val="00F3362E"/>
    <w:rsid w:val="00F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322B"/>
  <w15:docId w15:val="{B6B2F3BA-2895-4D8A-ADDD-000C32FE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5803</Words>
  <Characters>3308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Олена</cp:lastModifiedBy>
  <cp:revision>4</cp:revision>
  <dcterms:created xsi:type="dcterms:W3CDTF">2026-04-30T08:50:00Z</dcterms:created>
  <dcterms:modified xsi:type="dcterms:W3CDTF">2026-04-30T09:54:00Z</dcterms:modified>
</cp:coreProperties>
</file>