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665d" w14:textId="47b665d">
      <w:pPr>
        <w:spacing w:after="75"/>
        <w:ind w:left="0"/>
        <w:jc w:val="center"/>
        <w15:collapsed w:val="false"/>
      </w:pPr>
      <w:bookmarkStart w:name="1" w:id="0"/>
    </w:p>
    <w:bookmarkEnd w:id="0"/>
    <w:bookmarkStart w:name="2" w:id="1"/>
    <w:p>
      <w:pPr>
        <w:pStyle w:val="Heading2"/>
        <w:spacing w:after="225"/>
        <w:ind w:left="0"/>
        <w:jc w:val="center"/>
      </w:pPr>
      <w:r>
        <w:rPr>
          <w:rFonts w:ascii="Arial" w:hAnsi="Arial"/>
          <w:color w:val="000000"/>
          <w:sz w:val="40"/>
        </w:rPr>
        <w:t>Про затвердження Критеріїв, за якими здійснюється визначення підприємств, установ, організацій, які мають важливе значення для задоволення потреб територіальних громад</w:t>
      </w:r>
    </w:p>
    <w:bookmarkEnd w:id="1"/>
    <w:bookmarkStart w:name="3" w:id="2"/>
    <w:p>
      <w:pPr>
        <w:spacing w:after="75"/>
        <w:ind w:left="0"/>
        <w:jc w:val="center"/>
      </w:pPr>
      <w:r>
        <w:rPr>
          <w:rFonts w:ascii="Arial" w:hAnsi="Arial"/>
          <w:b/>
          <w:i w:val="false"/>
          <w:color w:val="000000"/>
          <w:sz w:val="24"/>
        </w:rPr>
        <w:t>Розпорядження Волинської обласної військової адміністрації</w:t>
      </w:r>
      <w:r>
        <w:br/>
      </w:r>
      <w:r>
        <w:rPr>
          <w:rFonts w:ascii="Arial" w:hAnsi="Arial"/>
          <w:b/>
          <w:i w:val="false"/>
          <w:color w:val="000000"/>
          <w:sz w:val="24"/>
        </w:rPr>
        <w:t>25 червня 2026 року N 365</w:t>
      </w:r>
    </w:p>
    <w:bookmarkEnd w:id="2"/>
    <w:bookmarkStart w:name="4" w:id="3"/>
    <w:p>
      <w:pPr>
        <w:spacing w:after="75"/>
        <w:ind w:left="0"/>
        <w:jc w:val="center"/>
      </w:pPr>
      <w:r>
        <w:rPr>
          <w:rFonts w:ascii="Arial" w:hAnsi="Arial"/>
          <w:b/>
          <w:i w:val="false"/>
          <w:color w:val="000000"/>
          <w:sz w:val="24"/>
        </w:rPr>
        <w:t>Зареєстровано у Львівському міжрегіональному управлінні Міністерства юстиції України</w:t>
      </w:r>
      <w:r>
        <w:br/>
      </w:r>
      <w:r>
        <w:rPr>
          <w:rFonts w:ascii="Arial" w:hAnsi="Arial"/>
          <w:b/>
          <w:i w:val="false"/>
          <w:color w:val="000000"/>
          <w:sz w:val="24"/>
        </w:rPr>
        <w:t>29 червня 2026 р. за N 37/47</w:t>
      </w:r>
    </w:p>
    <w:bookmarkEnd w:id="3"/>
    <w:bookmarkStart w:name="5" w:id="4"/>
    <w:p>
      <w:pPr>
        <w:spacing w:after="75"/>
        <w:ind w:firstLine="240"/>
        <w:jc w:val="both"/>
      </w:pPr>
      <w:r>
        <w:rPr>
          <w:rFonts w:ascii="Arial" w:hAnsi="Arial"/>
          <w:b w:val="false"/>
          <w:i w:val="false"/>
          <w:color w:val="000000"/>
          <w:sz w:val="24"/>
        </w:rPr>
        <w:t xml:space="preserve">Відповідно до частини першої </w:t>
      </w:r>
      <w:r>
        <w:rPr>
          <w:rFonts w:ascii="Arial" w:hAnsi="Arial"/>
          <w:b w:val="false"/>
          <w:i w:val="false"/>
          <w:color w:val="293a55"/>
          <w:sz w:val="24"/>
        </w:rPr>
        <w:t>статті 6</w:t>
      </w:r>
      <w:r>
        <w:rPr>
          <w:rFonts w:ascii="Arial" w:hAnsi="Arial"/>
          <w:b w:val="false"/>
          <w:i w:val="false"/>
          <w:color w:val="000000"/>
          <w:sz w:val="24"/>
        </w:rPr>
        <w:t xml:space="preserve">, частин першої, шостої </w:t>
      </w:r>
      <w:r>
        <w:rPr>
          <w:rFonts w:ascii="Arial" w:hAnsi="Arial"/>
          <w:b w:val="false"/>
          <w:i w:val="false"/>
          <w:color w:val="293a55"/>
          <w:sz w:val="24"/>
        </w:rPr>
        <w:t>статті 41 Закону України "Про місцеві державні адміністрації"</w:t>
      </w:r>
      <w:r>
        <w:rPr>
          <w:rFonts w:ascii="Arial" w:hAnsi="Arial"/>
          <w:b w:val="false"/>
          <w:i w:val="false"/>
          <w:color w:val="000000"/>
          <w:sz w:val="24"/>
        </w:rPr>
        <w:t xml:space="preserve">, </w:t>
      </w:r>
      <w:r>
        <w:rPr>
          <w:rFonts w:ascii="Arial" w:hAnsi="Arial"/>
          <w:b w:val="false"/>
          <w:i w:val="false"/>
          <w:color w:val="293a55"/>
          <w:sz w:val="24"/>
        </w:rPr>
        <w:t>статті 15 Закону України "Про правовий режим воєнного стану"</w:t>
      </w:r>
      <w:r>
        <w:rPr>
          <w:rFonts w:ascii="Arial" w:hAnsi="Arial"/>
          <w:b w:val="false"/>
          <w:i w:val="false"/>
          <w:color w:val="000000"/>
          <w:sz w:val="24"/>
        </w:rPr>
        <w:t xml:space="preserve">, </w:t>
      </w:r>
      <w:r>
        <w:rPr>
          <w:rFonts w:ascii="Arial" w:hAnsi="Arial"/>
          <w:b w:val="false"/>
          <w:i w:val="false"/>
          <w:color w:val="293a55"/>
          <w:sz w:val="24"/>
        </w:rPr>
        <w:t>Указу Президента України від 24 лютого 2022 року N 68/2022 "Про утворення військових адміністрацій"</w:t>
      </w:r>
      <w:r>
        <w:rPr>
          <w:rFonts w:ascii="Arial" w:hAnsi="Arial"/>
          <w:b w:val="false"/>
          <w:i w:val="false"/>
          <w:color w:val="000000"/>
          <w:sz w:val="24"/>
        </w:rPr>
        <w:t xml:space="preserve">, підпункту 4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Pr>
          <w:rFonts w:ascii="Arial" w:hAnsi="Arial"/>
          <w:b w:val="false"/>
          <w:i w:val="false"/>
          <w:color w:val="293a55"/>
          <w:sz w:val="24"/>
        </w:rPr>
        <w:t>постановою Кабінету Міністрів України від 27 січня 2023 року N 76</w:t>
      </w:r>
      <w:r>
        <w:rPr>
          <w:rFonts w:ascii="Arial" w:hAnsi="Arial"/>
          <w:b w:val="false"/>
          <w:i w:val="false"/>
          <w:color w:val="000000"/>
          <w:sz w:val="24"/>
        </w:rPr>
        <w:t xml:space="preserve"> (у редакції </w:t>
      </w:r>
      <w:r>
        <w:rPr>
          <w:rFonts w:ascii="Arial" w:hAnsi="Arial"/>
          <w:b w:val="false"/>
          <w:i w:val="false"/>
          <w:color w:val="293a55"/>
          <w:sz w:val="24"/>
        </w:rPr>
        <w:t>постанови Кабінету Міністрів України від 05 червня 2024 року N 650</w:t>
      </w:r>
      <w:r>
        <w:rPr>
          <w:rFonts w:ascii="Arial" w:hAnsi="Arial"/>
          <w:b w:val="false"/>
          <w:i w:val="false"/>
          <w:color w:val="000000"/>
          <w:sz w:val="24"/>
        </w:rPr>
        <w:t xml:space="preserve">), з метою визначення підприємств, установ та організацій, розташованих на території Волинської області, які мають важливе значення для галузі національної економіки чи забезпечення потреб територіальної громади в особливий період </w:t>
      </w:r>
      <w:r>
        <w:rPr>
          <w:rFonts w:ascii="Arial" w:hAnsi="Arial"/>
          <w:b/>
          <w:i w:val="false"/>
          <w:color w:val="000000"/>
          <w:sz w:val="24"/>
        </w:rPr>
        <w:t>зобов'язую</w:t>
      </w:r>
      <w:r>
        <w:rPr>
          <w:rFonts w:ascii="Arial" w:hAnsi="Arial"/>
          <w:b w:val="false"/>
          <w:i w:val="false"/>
          <w:color w:val="000000"/>
          <w:sz w:val="24"/>
        </w:rPr>
        <w:t>:</w:t>
      </w:r>
    </w:p>
    <w:bookmarkEnd w:id="4"/>
    <w:bookmarkStart w:name="6" w:id="5"/>
    <w:p>
      <w:pPr>
        <w:spacing w:after="75"/>
        <w:ind w:firstLine="240"/>
        <w:jc w:val="both"/>
      </w:pPr>
      <w:r>
        <w:rPr>
          <w:rFonts w:ascii="Arial" w:hAnsi="Arial"/>
          <w:b w:val="false"/>
          <w:i w:val="false"/>
          <w:color w:val="000000"/>
          <w:sz w:val="24"/>
        </w:rPr>
        <w:t>1. Затвердити Критерії, за якими здійснюється визначення підприємств, установ, організацій, які мають важливе значення для задоволення потреб територіальних громад, що додаються.</w:t>
      </w:r>
    </w:p>
    <w:bookmarkEnd w:id="5"/>
    <w:bookmarkStart w:name="7" w:id="6"/>
    <w:p>
      <w:pPr>
        <w:spacing w:after="75"/>
        <w:ind w:firstLine="240"/>
        <w:jc w:val="both"/>
      </w:pPr>
      <w:r>
        <w:rPr>
          <w:rFonts w:ascii="Arial" w:hAnsi="Arial"/>
          <w:b w:val="false"/>
          <w:i w:val="false"/>
          <w:color w:val="000000"/>
          <w:sz w:val="24"/>
        </w:rPr>
        <w:t xml:space="preserve">2. Визнати таким, що втратило чинність, </w:t>
      </w:r>
      <w:r>
        <w:rPr>
          <w:rFonts w:ascii="Arial" w:hAnsi="Arial"/>
          <w:b w:val="false"/>
          <w:i w:val="false"/>
          <w:color w:val="293a55"/>
          <w:sz w:val="24"/>
        </w:rPr>
        <w:t>розпорядження Волинської обласної військової адміністрації від 10 листопада 2025 року N 631 "Про затвердження Критеріїв, за якими здійснюється визначення підприємств, установ, організацій, які мають важливе значення для задоволення потреб територіальних громад"</w:t>
      </w:r>
      <w:r>
        <w:rPr>
          <w:rFonts w:ascii="Arial" w:hAnsi="Arial"/>
          <w:b w:val="false"/>
          <w:i w:val="false"/>
          <w:color w:val="000000"/>
          <w:sz w:val="24"/>
        </w:rPr>
        <w:t>, зареєстроване у Львівському міжрегіональному управлінні Міністерства юстиції України 18 листопада 2025 року за N 1/1.</w:t>
      </w:r>
    </w:p>
    <w:bookmarkEnd w:id="6"/>
    <w:bookmarkStart w:name="8" w:id="7"/>
    <w:p>
      <w:pPr>
        <w:spacing w:after="75"/>
        <w:ind w:firstLine="240"/>
        <w:jc w:val="both"/>
      </w:pPr>
      <w:r>
        <w:rPr>
          <w:rFonts w:ascii="Arial" w:hAnsi="Arial"/>
          <w:b w:val="false"/>
          <w:i w:val="false"/>
          <w:color w:val="000000"/>
          <w:sz w:val="24"/>
        </w:rPr>
        <w:t>3. Юридичне управління апарату Волинської обласної державної (військової) адміністрації подати це розпорядження на державну реєстрацію до Львівського міжрегіонального управління Міністерства юстиції України.</w:t>
      </w:r>
    </w:p>
    <w:bookmarkEnd w:id="7"/>
    <w:bookmarkStart w:name="9" w:id="8"/>
    <w:p>
      <w:pPr>
        <w:spacing w:after="75"/>
        <w:ind w:firstLine="240"/>
        <w:jc w:val="both"/>
      </w:pPr>
      <w:r>
        <w:rPr>
          <w:rFonts w:ascii="Arial" w:hAnsi="Arial"/>
          <w:b w:val="false"/>
          <w:i w:val="false"/>
          <w:color w:val="000000"/>
          <w:sz w:val="24"/>
        </w:rPr>
        <w:t>4. Департамент економіки, інвестиційної діяльності та регіональної політики Волинської обласної державної адміністрації забезпечити офіційне опублікування цього розпорядження.</w:t>
      </w:r>
    </w:p>
    <w:bookmarkEnd w:id="8"/>
    <w:bookmarkStart w:name="10" w:id="9"/>
    <w:p>
      <w:pPr>
        <w:spacing w:after="75"/>
        <w:ind w:firstLine="240"/>
        <w:jc w:val="both"/>
      </w:pPr>
      <w:r>
        <w:rPr>
          <w:rFonts w:ascii="Arial" w:hAnsi="Arial"/>
          <w:b w:val="false"/>
          <w:i w:val="false"/>
          <w:color w:val="000000"/>
          <w:sz w:val="24"/>
        </w:rPr>
        <w:t>5. Це розпорядження набирає чинності після державної реєстрації у Львівському міжрегіональному управлінні Міністерства юстиції України з дня його офіційного опублікування.</w:t>
      </w:r>
    </w:p>
    <w:bookmarkEnd w:id="9"/>
    <w:bookmarkStart w:name="11" w:id="10"/>
    <w:p>
      <w:pPr>
        <w:spacing w:after="75"/>
        <w:ind w:firstLine="240"/>
        <w:jc w:val="both"/>
      </w:pPr>
      <w:r>
        <w:rPr>
          <w:rFonts w:ascii="Arial" w:hAnsi="Arial"/>
          <w:b w:val="false"/>
          <w:i w:val="false"/>
          <w:color w:val="000000"/>
          <w:sz w:val="24"/>
        </w:rPr>
        <w:t>6. Контроль за виконанням цього розпорядження залишаю за собою.</w:t>
      </w:r>
    </w:p>
    <w:bookmarkEnd w:id="10"/>
    <w:bookmarkStart w:name="12" w:id="11"/>
    <w:p>
      <w:pPr>
        <w:spacing w:after="75"/>
        <w:ind w:firstLine="240"/>
        <w:jc w:val="both"/>
      </w:pPr>
      <w:r>
        <w:rPr>
          <w:rFonts w:ascii="Arial" w:hAnsi="Arial"/>
          <w:b w:val="false"/>
          <w:i w:val="false"/>
          <w:color w:val="000000"/>
          <w:sz w:val="24"/>
        </w:rPr>
        <w:t xml:space="preserve"> </w:t>
      </w:r>
    </w:p>
    <w:bookmarkEnd w:id="11"/>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120" w:hRule="atLeast"/>
        </w:trPr>
        <w:tc>
          <w:tcPr>
            <w:tcW w:w="4845" w:type="dxa"/>
            <w:tcBorders/>
            <w:vAlign w:val="center"/>
          </w:tcPr>
          <w:bookmarkStart w:name="13" w:id="12"/>
          <w:p>
            <w:pPr>
              <w:spacing w:after="75"/>
              <w:ind w:left="0"/>
              <w:jc w:val="center"/>
            </w:pPr>
            <w:r>
              <w:rPr>
                <w:rFonts w:ascii="Arial" w:hAnsi="Arial"/>
                <w:b/>
                <w:i w:val="false"/>
                <w:color w:val="000000"/>
                <w:sz w:val="15"/>
              </w:rPr>
              <w:t>Тимчасово виконувач</w:t>
            </w:r>
            <w:r>
              <w:br/>
            </w:r>
            <w:r>
              <w:rPr>
                <w:rFonts w:ascii="Arial" w:hAnsi="Arial"/>
                <w:b/>
                <w:i w:val="false"/>
                <w:color w:val="000000"/>
                <w:sz w:val="15"/>
              </w:rPr>
              <w:t>обов'язків начальника</w:t>
            </w:r>
          </w:p>
          <w:bookmarkEnd w:id="12"/>
        </w:tc>
        <w:tc>
          <w:tcPr>
            <w:tcW w:w="4845" w:type="dxa"/>
            <w:tcBorders/>
            <w:vAlign w:val="center"/>
          </w:tcPr>
          <w:bookmarkStart w:name="14" w:id="13"/>
          <w:p>
            <w:pPr>
              <w:spacing w:after="75"/>
              <w:ind w:left="0"/>
              <w:jc w:val="center"/>
            </w:pPr>
            <w:r>
              <w:rPr>
                <w:rFonts w:ascii="Arial" w:hAnsi="Arial"/>
                <w:b/>
                <w:i w:val="false"/>
                <w:color w:val="000000"/>
                <w:sz w:val="15"/>
              </w:rPr>
              <w:t>Роман РОМАНЮК</w:t>
            </w:r>
          </w:p>
          <w:bookmarkEnd w:id="13"/>
        </w:tc>
      </w:tr>
      <w:tr>
        <w:trPr>
          <w:trHeight w:val="120" w:hRule="atLeast"/>
        </w:trPr>
        <w:tc>
          <w:tcPr>
            <w:tcW w:w="4845" w:type="dxa"/>
            <w:tcBorders/>
            <w:vAlign w:val="center"/>
          </w:tcPr>
          <w:bookmarkStart w:name="15" w:id="14"/>
          <w:p>
            <w:pPr>
              <w:spacing w:after="75"/>
              <w:ind w:left="0"/>
              <w:jc w:val="center"/>
            </w:pPr>
            <w:r>
              <w:rPr>
                <w:rFonts w:ascii="Arial" w:hAnsi="Arial"/>
                <w:b/>
                <w:i w:val="false"/>
                <w:color w:val="000000"/>
                <w:sz w:val="15"/>
              </w:rPr>
              <w:t>ПОГОДЖЕНО:</w:t>
            </w:r>
          </w:p>
          <w:bookmarkEnd w:id="14"/>
        </w:tc>
        <w:tc>
          <w:tcPr>
            <w:tcW w:w="4845" w:type="dxa"/>
            <w:tcBorders/>
            <w:vAlign w:val="center"/>
          </w:tcPr>
          <w:bookmarkStart w:name="16" w:id="15"/>
          <w:p>
            <w:pPr>
              <w:spacing w:after="75"/>
              <w:ind w:left="0"/>
              <w:jc w:val="center"/>
            </w:pPr>
            <w:r>
              <w:rPr>
                <w:rFonts w:ascii="Arial" w:hAnsi="Arial"/>
                <w:b w:val="false"/>
                <w:i w:val="false"/>
                <w:color w:val="000000"/>
                <w:sz w:val="15"/>
              </w:rPr>
              <w:t xml:space="preserve"> </w:t>
            </w:r>
          </w:p>
          <w:bookmarkEnd w:id="15"/>
        </w:tc>
      </w:tr>
      <w:tr>
        <w:trPr>
          <w:trHeight w:val="120" w:hRule="atLeast"/>
        </w:trPr>
        <w:tc>
          <w:tcPr>
            <w:tcW w:w="4845" w:type="dxa"/>
            <w:tcBorders/>
            <w:vAlign w:val="center"/>
          </w:tcPr>
          <w:bookmarkStart w:name="17" w:id="16"/>
          <w:p>
            <w:pPr>
              <w:spacing w:after="75"/>
              <w:ind w:left="0"/>
              <w:jc w:val="center"/>
            </w:pPr>
            <w:r>
              <w:rPr>
                <w:rFonts w:ascii="Arial" w:hAnsi="Arial"/>
                <w:b/>
                <w:i w:val="false"/>
                <w:color w:val="000000"/>
                <w:sz w:val="15"/>
              </w:rPr>
              <w:t>Міністерства оборони України</w:t>
            </w:r>
          </w:p>
          <w:bookmarkEnd w:id="16"/>
        </w:tc>
        <w:tc>
          <w:tcPr>
            <w:tcW w:w="4845" w:type="dxa"/>
            <w:tcBorders/>
            <w:vAlign w:val="center"/>
          </w:tcPr>
          <w:bookmarkStart w:name="18" w:id="17"/>
          <w:p>
            <w:pPr>
              <w:spacing w:after="75"/>
              <w:ind w:left="0"/>
              <w:jc w:val="center"/>
            </w:pPr>
            <w:r>
              <w:rPr>
                <w:rFonts w:ascii="Arial" w:hAnsi="Arial"/>
                <w:b w:val="false"/>
                <w:i w:val="false"/>
                <w:color w:val="000000"/>
                <w:sz w:val="15"/>
              </w:rPr>
              <w:t xml:space="preserve"> </w:t>
            </w:r>
          </w:p>
          <w:bookmarkEnd w:id="17"/>
        </w:tc>
      </w:tr>
      <w:tr>
        <w:trPr>
          <w:trHeight w:val="120" w:hRule="atLeast"/>
        </w:trPr>
        <w:tc>
          <w:tcPr>
            <w:tcW w:w="4845" w:type="dxa"/>
            <w:tcBorders/>
            <w:vAlign w:val="center"/>
          </w:tcPr>
          <w:bookmarkStart w:name="21" w:id="18"/>
          <w:p>
            <w:pPr>
              <w:spacing w:after="75"/>
              <w:ind w:left="0"/>
              <w:jc w:val="center"/>
            </w:pPr>
            <w:r>
              <w:rPr>
                <w:rFonts w:ascii="Arial" w:hAnsi="Arial"/>
                <w:b/>
                <w:i w:val="false"/>
                <w:color w:val="000000"/>
                <w:sz w:val="15"/>
              </w:rPr>
              <w:t>Міністерства економіки,</w:t>
            </w:r>
            <w:r>
              <w:br/>
            </w:r>
            <w:r>
              <w:rPr>
                <w:rFonts w:ascii="Arial" w:hAnsi="Arial"/>
                <w:b/>
                <w:i w:val="false"/>
                <w:color w:val="000000"/>
                <w:sz w:val="15"/>
              </w:rPr>
              <w:t>довкілля та сільського господарства України</w:t>
            </w:r>
          </w:p>
          <w:bookmarkEnd w:id="18"/>
        </w:tc>
        <w:tc>
          <w:tcPr>
            <w:tcW w:w="4845" w:type="dxa"/>
            <w:tcBorders/>
            <w:vAlign w:val="center"/>
          </w:tcPr>
          <w:bookmarkStart w:name="22" w:id="19"/>
          <w:p>
            <w:pPr>
              <w:spacing w:after="75"/>
              <w:ind w:left="0"/>
              <w:jc w:val="center"/>
            </w:pPr>
            <w:r>
              <w:rPr>
                <w:rFonts w:ascii="Arial" w:hAnsi="Arial"/>
                <w:b w:val="false"/>
                <w:i w:val="false"/>
                <w:color w:val="000000"/>
                <w:sz w:val="15"/>
              </w:rPr>
              <w:t xml:space="preserve"> </w:t>
            </w:r>
          </w:p>
          <w:bookmarkEnd w:id="19"/>
        </w:tc>
      </w:tr>
    </w:tbl>
    <w:bookmarkStart w:name="23" w:id="20"/>
    <w:p>
      <w:pPr>
        <w:spacing w:after="75"/>
        <w:ind w:firstLine="240"/>
        <w:jc w:val="both"/>
      </w:pPr>
      <w:r>
        <w:rPr>
          <w:rFonts w:ascii="Arial" w:hAnsi="Arial"/>
          <w:b w:val="false"/>
          <w:i w:val="false"/>
          <w:color w:val="000000"/>
          <w:sz w:val="24"/>
        </w:rPr>
        <w:t xml:space="preserve"> </w:t>
      </w:r>
    </w:p>
    <w:bookmarkEnd w:id="20"/>
    <w:bookmarkStart w:name="24" w:id="21"/>
    <w:p>
      <w:pPr>
        <w:spacing w:after="75"/>
        <w:ind w:firstLine="240"/>
        <w:jc w:val="right"/>
      </w:pPr>
      <w:r>
        <w:rPr>
          <w:rFonts w:ascii="Arial" w:hAnsi="Arial"/>
          <w:b w:val="false"/>
          <w:i w:val="false"/>
          <w:color w:val="000000"/>
          <w:sz w:val="24"/>
        </w:rPr>
        <w:t>ЗАТВЕРДЖЕНО</w:t>
      </w:r>
      <w:r>
        <w:br/>
      </w:r>
      <w:r>
        <w:rPr>
          <w:rFonts w:ascii="Arial" w:hAnsi="Arial"/>
          <w:b w:val="false"/>
          <w:i w:val="false"/>
          <w:color w:val="000000"/>
          <w:sz w:val="24"/>
        </w:rPr>
        <w:t>Розпорядження Волинської обласної державної (військової) адміністрації</w:t>
      </w:r>
      <w:r>
        <w:br/>
      </w:r>
      <w:r>
        <w:rPr>
          <w:rFonts w:ascii="Arial" w:hAnsi="Arial"/>
          <w:b w:val="false"/>
          <w:i w:val="false"/>
          <w:color w:val="000000"/>
          <w:sz w:val="24"/>
        </w:rPr>
        <w:t>25 червня 2026 року N 365</w:t>
      </w:r>
    </w:p>
    <w:bookmarkEnd w:id="21"/>
    <w:bookmarkStart w:name="25" w:id="22"/>
    <w:p>
      <w:pPr>
        <w:pStyle w:val="Heading3"/>
        <w:spacing w:after="225"/>
        <w:ind w:left="0"/>
        <w:jc w:val="center"/>
      </w:pPr>
      <w:r>
        <w:rPr>
          <w:rFonts w:ascii="Arial" w:hAnsi="Arial"/>
          <w:color w:val="000000"/>
          <w:sz w:val="32"/>
        </w:rPr>
        <w:t>КРИТЕРІЇ,</w:t>
      </w:r>
      <w:r>
        <w:br/>
      </w:r>
      <w:r>
        <w:rPr>
          <w:rFonts w:ascii="Arial" w:hAnsi="Arial"/>
          <w:color w:val="000000"/>
          <w:sz w:val="32"/>
        </w:rPr>
        <w:t>за якими здійснюється визначення підприємств, установ, організацій, які мають важливе значення для задоволення потреб територіальних громад</w:t>
      </w:r>
    </w:p>
    <w:bookmarkEnd w:id="22"/>
    <w:bookmarkStart w:name="26" w:id="23"/>
    <w:p>
      <w:pPr>
        <w:spacing w:after="75"/>
        <w:ind w:firstLine="240"/>
        <w:jc w:val="both"/>
      </w:pPr>
      <w:r>
        <w:rPr>
          <w:rFonts w:ascii="Arial" w:hAnsi="Arial"/>
          <w:b w:val="false"/>
          <w:i w:val="false"/>
          <w:color w:val="000000"/>
          <w:sz w:val="24"/>
        </w:rPr>
        <w:t>1. Визначення підприємств, установ, організацій (далі - підприємства), які мають важливе значення для задоволення потреб територіальних громад Волинської області в особливий період місцезнаходження яких - Волинська область, що підтверджується витягом з Єдиного державного реєстру юридичних осіб, фізичних осіб - підприємців та громадських формувань та/або здійснення господарської діяльності, розміщення виробничих потужностей на території Волинської області, здійснюється за такими критеріями:</w:t>
      </w:r>
    </w:p>
    <w:bookmarkEnd w:id="23"/>
    <w:bookmarkStart w:name="27" w:id="24"/>
    <w:p>
      <w:pPr>
        <w:spacing w:after="75"/>
        <w:ind w:firstLine="240"/>
        <w:jc w:val="both"/>
      </w:pPr>
      <w:r>
        <w:rPr>
          <w:rFonts w:ascii="Arial" w:hAnsi="Arial"/>
          <w:b w:val="false"/>
          <w:i w:val="false"/>
          <w:color w:val="000000"/>
          <w:sz w:val="24"/>
        </w:rPr>
        <w:t>1) підприємства є економічно активними з обсягом річних доходів не менше 10 млн грн, що підтверджується копією податкової декларації з відмітками (штампами) контролюючого органу за останній звітний період або квитанцією про прийняття податкової декларації в разі її подання засобами електронного зв'язку.</w:t>
      </w:r>
    </w:p>
    <w:bookmarkEnd w:id="24"/>
    <w:bookmarkStart w:name="28" w:id="25"/>
    <w:p>
      <w:pPr>
        <w:spacing w:after="75"/>
        <w:ind w:firstLine="240"/>
        <w:jc w:val="both"/>
      </w:pPr>
      <w:r>
        <w:rPr>
          <w:rFonts w:ascii="Arial" w:hAnsi="Arial"/>
          <w:b w:val="false"/>
          <w:i w:val="false"/>
          <w:color w:val="000000"/>
          <w:sz w:val="24"/>
        </w:rPr>
        <w:t xml:space="preserve">Кількість застрахованих працівників не менше 10 осіб у звітному періоді, яким нараховано заробітну плату (грошове забезпечення), що підтверджується копією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Arial" w:hAnsi="Arial"/>
          <w:b w:val="false"/>
          <w:i w:val="false"/>
          <w:color w:val="293a55"/>
          <w:sz w:val="24"/>
        </w:rPr>
        <w:t>наказом Міністерства фінансів України від 13 січня 2015 року N 4</w:t>
      </w:r>
      <w:r>
        <w:rPr>
          <w:rFonts w:ascii="Arial" w:hAnsi="Arial"/>
          <w:b w:val="false"/>
          <w:i w:val="false"/>
          <w:color w:val="000000"/>
          <w:sz w:val="24"/>
        </w:rPr>
        <w:t xml:space="preserve">, зареєстрованим у Міністерстві юстиції України 30 січня 2015 року за N 111/26556 (у редакції </w:t>
      </w:r>
      <w:r>
        <w:rPr>
          <w:rFonts w:ascii="Arial" w:hAnsi="Arial"/>
          <w:b w:val="false"/>
          <w:i w:val="false"/>
          <w:color w:val="293a55"/>
          <w:sz w:val="24"/>
        </w:rPr>
        <w:t>наказу Міністерства фінансів України від 24 січня 2025 року N 39</w:t>
      </w:r>
      <w:r>
        <w:rPr>
          <w:rFonts w:ascii="Arial" w:hAnsi="Arial"/>
          <w:b w:val="false"/>
          <w:i w:val="false"/>
          <w:color w:val="000000"/>
          <w:sz w:val="24"/>
        </w:rPr>
        <w:t>), за останній звітний період.</w:t>
      </w:r>
    </w:p>
    <w:bookmarkEnd w:id="25"/>
    <w:bookmarkStart w:name="29" w:id="26"/>
    <w:p>
      <w:pPr>
        <w:spacing w:after="75"/>
        <w:ind w:firstLine="240"/>
        <w:jc w:val="both"/>
      </w:pPr>
      <w:r>
        <w:rPr>
          <w:rFonts w:ascii="Arial" w:hAnsi="Arial"/>
          <w:b w:val="false"/>
          <w:i w:val="false"/>
          <w:color w:val="000000"/>
          <w:sz w:val="24"/>
        </w:rPr>
        <w:t>Роботодавець має здійснювати свою діяльність у Волинській області та сплачувати податки та збори до місцевих бюджетів Волинської області, що підтверджується відповідною податковою звітністю за останній звітний період;</w:t>
      </w:r>
    </w:p>
    <w:bookmarkEnd w:id="26"/>
    <w:bookmarkStart w:name="30" w:id="27"/>
    <w:p>
      <w:pPr>
        <w:spacing w:after="75"/>
        <w:ind w:firstLine="240"/>
        <w:jc w:val="both"/>
      </w:pPr>
      <w:r>
        <w:rPr>
          <w:rFonts w:ascii="Arial" w:hAnsi="Arial"/>
          <w:b w:val="false"/>
          <w:i w:val="false"/>
          <w:color w:val="000000"/>
          <w:sz w:val="24"/>
        </w:rPr>
        <w:t xml:space="preserve">2) обсяг сплачених суб'єктом господарювання приватного сектору економіки податків та зборів до загального бюджету територіальної громади Волинської області за останній звітний період у розрахунку на одного працівника, серед них податок на доходи фізичних осіб, який не може бути менший від податку, сплаченого з розміру середньої заробітної плати (помноженого на коефіцієнт 1,5) застрахованих осіб - працівників, встановленого абзацом третім підпункту 6 пункту 2 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w:t>
      </w:r>
      <w:r>
        <w:rPr>
          <w:rFonts w:ascii="Arial" w:hAnsi="Arial"/>
          <w:b w:val="false"/>
          <w:i w:val="false"/>
          <w:color w:val="293a55"/>
          <w:sz w:val="24"/>
        </w:rPr>
        <w:t>постановою Кабінету Міністрів України від 27 січня 2023 року N 76</w:t>
      </w:r>
      <w:r>
        <w:rPr>
          <w:rFonts w:ascii="Arial" w:hAnsi="Arial"/>
          <w:b w:val="false"/>
          <w:i w:val="false"/>
          <w:color w:val="000000"/>
          <w:sz w:val="24"/>
        </w:rPr>
        <w:t xml:space="preserve"> (у редакції </w:t>
      </w:r>
      <w:r>
        <w:rPr>
          <w:rFonts w:ascii="Arial" w:hAnsi="Arial"/>
          <w:b w:val="false"/>
          <w:i w:val="false"/>
          <w:color w:val="293a55"/>
          <w:sz w:val="24"/>
        </w:rPr>
        <w:t>постанови Кабінету Міністрів України від 05 червня 2024 року N 650</w:t>
      </w:r>
      <w:r>
        <w:rPr>
          <w:rFonts w:ascii="Arial" w:hAnsi="Arial"/>
          <w:b w:val="false"/>
          <w:i w:val="false"/>
          <w:color w:val="000000"/>
          <w:sz w:val="24"/>
        </w:rPr>
        <w:t>), що підтверджується листом органу місцевого самоврядування територіальної громади, в межах якої відповідний суб'єкт господарювання здійснює свою діяльність;</w:t>
      </w:r>
    </w:p>
    <w:bookmarkEnd w:id="27"/>
    <w:bookmarkStart w:name="31" w:id="28"/>
    <w:p>
      <w:pPr>
        <w:spacing w:after="75"/>
        <w:ind w:firstLine="240"/>
        <w:jc w:val="both"/>
      </w:pPr>
      <w:r>
        <w:rPr>
          <w:rFonts w:ascii="Arial" w:hAnsi="Arial"/>
          <w:b w:val="false"/>
          <w:i w:val="false"/>
          <w:color w:val="000000"/>
          <w:sz w:val="24"/>
        </w:rPr>
        <w:t>3) підприємства, які є оператором об'єкта критичної інфраструктури та включені до Реєстру об'єктів критичної інфраструктури, що підтверджується копією листа секторального органу у сфері захисту критичної інфраструктури;</w:t>
      </w:r>
    </w:p>
    <w:bookmarkEnd w:id="28"/>
    <w:bookmarkStart w:name="32" w:id="29"/>
    <w:p>
      <w:pPr>
        <w:spacing w:after="75"/>
        <w:ind w:firstLine="240"/>
        <w:jc w:val="both"/>
      </w:pPr>
      <w:r>
        <w:rPr>
          <w:rFonts w:ascii="Arial" w:hAnsi="Arial"/>
          <w:b w:val="false"/>
          <w:i w:val="false"/>
          <w:color w:val="000000"/>
          <w:sz w:val="24"/>
        </w:rPr>
        <w:t>4) підприємства, що здійснюють зовнішньоекономічну діяльність, що підтверджується відповідними копіями договорів, та експортують не менше 30 % від обсягу постачання товарів, робіт, послуг за відповідний звітний період за умови сплати податку на прибуток (крім платників єдиного податку третьої та четвертої груп та підприємств, які постраждали внаслідок збройної агресії Російської Федерації проти України, підтверджених відповідними документами уповноважених правоохоронних органів України) та відповідною податковою звітністю за останній звітний період;</w:t>
      </w:r>
    </w:p>
    <w:bookmarkEnd w:id="29"/>
    <w:bookmarkStart w:name="33" w:id="30"/>
    <w:p>
      <w:pPr>
        <w:spacing w:after="75"/>
        <w:ind w:firstLine="240"/>
        <w:jc w:val="both"/>
      </w:pPr>
      <w:r>
        <w:rPr>
          <w:rFonts w:ascii="Arial" w:hAnsi="Arial"/>
          <w:b w:val="false"/>
          <w:i w:val="false"/>
          <w:color w:val="000000"/>
          <w:sz w:val="24"/>
        </w:rPr>
        <w:t>5) підприємства, що належать до державної або комунальної форми власності, засновниками яких є органи державної влади або органи місцевого самоврядування, та виробляють товари / надають послуги, які є критично необхідними для забезпечення життєдіяльності населення (громади), що підтверджується витягом з Єдиного державного реєстру юридичних осіб, фізичних осіб - підприємців та громадських формувань і статутом/положенням, а також листом-обґрунтуванням від засновника щодо важливості вироблених товарів або наданих послуг цим підприємством для забезпечення потреб територіальної громади Волинської області;</w:t>
      </w:r>
    </w:p>
    <w:bookmarkEnd w:id="30"/>
    <w:bookmarkStart w:name="35" w:id="31"/>
    <w:p>
      <w:pPr>
        <w:spacing w:after="75"/>
        <w:ind w:firstLine="240"/>
        <w:jc w:val="both"/>
      </w:pPr>
      <w:r>
        <w:rPr>
          <w:rFonts w:ascii="Arial" w:hAnsi="Arial"/>
          <w:b w:val="false"/>
          <w:i w:val="false"/>
          <w:color w:val="000000"/>
          <w:sz w:val="24"/>
        </w:rPr>
        <w:t xml:space="preserve">6) підприємства, які на договірній основі здійснюють поставку товарів, робіт, послуг підрозділам Сил безпеки й оборони України, утворених відповідно до чинного законодавства, в розмірі не менше 30 % від обсягу постачання товарів, робіт, послуг за останніх 12 календарних місяців, що підтверджується довідкою підприємства та копіями: чинних договорів щодо надання послуг, постачання товарів; засвідчених у встановленому порядку первинних документів, оборотно-сальдових відомостей; Податкової декларації з податку на додану вартість (з додатками), форма якої затверджена </w:t>
      </w:r>
      <w:r>
        <w:rPr>
          <w:rFonts w:ascii="Arial" w:hAnsi="Arial"/>
          <w:b w:val="false"/>
          <w:i w:val="false"/>
          <w:color w:val="293a55"/>
          <w:sz w:val="24"/>
        </w:rPr>
        <w:t>наказом Міністерства фінансів України від 28 січня 2016 року N 21</w:t>
      </w:r>
      <w:r>
        <w:rPr>
          <w:rFonts w:ascii="Arial" w:hAnsi="Arial"/>
          <w:b w:val="false"/>
          <w:i w:val="false"/>
          <w:color w:val="000000"/>
          <w:sz w:val="24"/>
        </w:rPr>
        <w:t xml:space="preserve">, зареєстрованим у Міністерстві юстиції України 29 січня 2016 року за N 159/28289 (у редакції </w:t>
      </w:r>
      <w:r>
        <w:rPr>
          <w:rFonts w:ascii="Arial" w:hAnsi="Arial"/>
          <w:b w:val="false"/>
          <w:i w:val="false"/>
          <w:color w:val="293a55"/>
          <w:sz w:val="24"/>
        </w:rPr>
        <w:t>наказу Міністерства фінансів України від 09 серпня 2024 року N 400</w:t>
      </w:r>
      <w:r>
        <w:rPr>
          <w:rFonts w:ascii="Arial" w:hAnsi="Arial"/>
          <w:b w:val="false"/>
          <w:i w:val="false"/>
          <w:color w:val="000000"/>
          <w:sz w:val="24"/>
        </w:rPr>
        <w:t xml:space="preserve">); Фінансової звітності малого підприємства та Фінансової звітності мікропідприємства, форми яких наведені відповідно до </w:t>
      </w:r>
      <w:r>
        <w:rPr>
          <w:rFonts w:ascii="Arial" w:hAnsi="Arial"/>
          <w:b w:val="false"/>
          <w:i w:val="false"/>
          <w:color w:val="293a55"/>
          <w:sz w:val="24"/>
        </w:rPr>
        <w:t>додатків 1</w:t>
      </w:r>
      <w:r>
        <w:rPr>
          <w:rFonts w:ascii="Arial" w:hAnsi="Arial"/>
          <w:b w:val="false"/>
          <w:i w:val="false"/>
          <w:color w:val="000000"/>
          <w:sz w:val="24"/>
        </w:rPr>
        <w:t xml:space="preserve">, </w:t>
      </w:r>
      <w:r>
        <w:rPr>
          <w:rFonts w:ascii="Arial" w:hAnsi="Arial"/>
          <w:b w:val="false"/>
          <w:i w:val="false"/>
          <w:color w:val="293a55"/>
          <w:sz w:val="24"/>
        </w:rPr>
        <w:t>2 до Національного положення (стандарту) бухгалтерського обліку 25 "Спрощена фінансова звітність</w:t>
      </w:r>
      <w:r>
        <w:rPr>
          <w:rFonts w:ascii="Arial" w:hAnsi="Arial"/>
          <w:b w:val="false"/>
          <w:i w:val="false"/>
          <w:color w:val="000000"/>
          <w:sz w:val="24"/>
        </w:rPr>
        <w:t xml:space="preserve">", затвердженого наказом Міністерства фінансів України від 25 лютого 2000 року N 39, зареєстрованого у Міністерстві юстиції України 15 березня 2000 року за N 161/4382 (у редакції </w:t>
      </w:r>
      <w:r>
        <w:rPr>
          <w:rFonts w:ascii="Arial" w:hAnsi="Arial"/>
          <w:b w:val="false"/>
          <w:i w:val="false"/>
          <w:color w:val="293a55"/>
          <w:sz w:val="24"/>
        </w:rPr>
        <w:t>наказу Міністерства фінансів України від 24 січня 2011 року N 25</w:t>
      </w:r>
      <w:r>
        <w:rPr>
          <w:rFonts w:ascii="Arial" w:hAnsi="Arial"/>
          <w:b w:val="false"/>
          <w:i w:val="false"/>
          <w:color w:val="000000"/>
          <w:sz w:val="24"/>
        </w:rPr>
        <w:t>);</w:t>
      </w:r>
    </w:p>
    <w:bookmarkEnd w:id="31"/>
    <w:bookmarkStart w:name="36" w:id="32"/>
    <w:p>
      <w:pPr>
        <w:spacing w:after="75"/>
        <w:ind w:firstLine="240"/>
        <w:jc w:val="both"/>
      </w:pPr>
      <w:r>
        <w:rPr>
          <w:rFonts w:ascii="Arial" w:hAnsi="Arial"/>
          <w:b w:val="false"/>
          <w:i w:val="false"/>
          <w:color w:val="000000"/>
          <w:sz w:val="24"/>
        </w:rPr>
        <w:t>7) підприємства, установи, організації комунальної форми власності, а також підприємства, установи, організації, які провадять діяльність у сферах:</w:t>
      </w:r>
    </w:p>
    <w:bookmarkEnd w:id="32"/>
    <w:bookmarkStart w:name="37" w:id="33"/>
    <w:p>
      <w:pPr>
        <w:spacing w:after="75"/>
        <w:ind w:firstLine="240"/>
        <w:jc w:val="both"/>
      </w:pPr>
      <w:r>
        <w:rPr>
          <w:rFonts w:ascii="Arial" w:hAnsi="Arial"/>
          <w:b w:val="false"/>
          <w:i w:val="false"/>
          <w:color w:val="000000"/>
          <w:sz w:val="24"/>
        </w:rPr>
        <w:t>лісового господарства; добувної промисловості і розроблення кар'єрів; переробної промисловості; постачання електричної енергії, газу, пари та кондиційованого повітря; водопостачання; каналізації, поводження з відходами; будівництва; оптової та роздрібної торгівлі; ремонту автотранспортних засобів і мотоциклів; транспорту, складського господарства, поштової та кур'єрської діяльності, що підтверджується витягом з Єдиного державного реєстру юридичних осіб, фізичних осіб - підприємців та громадських формувань за умови сплати податку на прибуток (крім платників єдиного податку третьої, четвертої груп) і отримання доходу у звітному періоді на рівні не меншому ніж у попередньому звітному періоді, але не менше ніж 2 млн грн за рік або 0,5 млн грн за квартал (крім новостворених підприємств (один рік після створення), підприємств, які постраждали внаслідок збройної агресії Російської Федерації проти України, підтверджених відповідними документами уповноважених правоохоронних органів України, релокованих підприємств з територій, що наближені або знаходяться в зоні бойових дій, підприємств, які здійснюють капітальні вкладення, що підтверджується відповідними дозвільними документами на будівництво (реконструкцію) та документами щодо фінансування, копією протоколу зборів акціонерів про збільшення статутного капіталу), що підтверджується відповідною податковою звітністю;</w:t>
      </w:r>
    </w:p>
    <w:bookmarkEnd w:id="33"/>
    <w:bookmarkStart w:name="38" w:id="34"/>
    <w:p>
      <w:pPr>
        <w:spacing w:after="75"/>
        <w:ind w:firstLine="240"/>
        <w:jc w:val="both"/>
      </w:pPr>
      <w:r>
        <w:rPr>
          <w:rFonts w:ascii="Arial" w:hAnsi="Arial"/>
          <w:b w:val="false"/>
          <w:i w:val="false"/>
          <w:color w:val="000000"/>
          <w:sz w:val="24"/>
        </w:rPr>
        <w:t>сільського або рибного господарства, що підтверджується витягом з Єдиного державного реєстру юридичних осіб, фізичних осіб - підприємців та громадських формувань, за умови отримання доходу у звітному періоді на рівні не меншому ніж у попередньому звітному періоді, але не менше ніж 1 млн грн за рік або 0,25 млн грн за квартал (крім новостворених підприємств (один рік після створення), що підтверджується відповідною податковою звітністю;</w:t>
      </w:r>
    </w:p>
    <w:bookmarkEnd w:id="34"/>
    <w:bookmarkStart w:name="39" w:id="35"/>
    <w:p>
      <w:pPr>
        <w:spacing w:after="75"/>
        <w:ind w:firstLine="240"/>
        <w:jc w:val="both"/>
      </w:pPr>
      <w:r>
        <w:rPr>
          <w:rFonts w:ascii="Arial" w:hAnsi="Arial"/>
          <w:b w:val="false"/>
          <w:i w:val="false"/>
          <w:color w:val="000000"/>
          <w:sz w:val="24"/>
        </w:rPr>
        <w:t>8) підприємства, що здійснюють сільськогосподарську діяльність:</w:t>
      </w:r>
    </w:p>
    <w:bookmarkEnd w:id="35"/>
    <w:bookmarkStart w:name="40" w:id="36"/>
    <w:p>
      <w:pPr>
        <w:spacing w:after="75"/>
        <w:ind w:firstLine="240"/>
        <w:jc w:val="both"/>
      </w:pPr>
      <w:r>
        <w:rPr>
          <w:rFonts w:ascii="Arial" w:hAnsi="Arial"/>
          <w:b w:val="false"/>
          <w:i w:val="false"/>
          <w:color w:val="000000"/>
          <w:sz w:val="24"/>
        </w:rPr>
        <w:t>з вирощування сільськогосподарських культур, що підтверджується відповідною звітністю до контролюючого органу з відміткою про отримання:</w:t>
      </w:r>
    </w:p>
    <w:bookmarkEnd w:id="36"/>
    <w:bookmarkStart w:name="41" w:id="37"/>
    <w:p>
      <w:pPr>
        <w:spacing w:after="75"/>
        <w:ind w:firstLine="240"/>
        <w:jc w:val="both"/>
      </w:pPr>
      <w:r>
        <w:rPr>
          <w:rFonts w:ascii="Arial" w:hAnsi="Arial"/>
          <w:b w:val="false"/>
          <w:i w:val="false"/>
          <w:color w:val="000000"/>
          <w:sz w:val="24"/>
        </w:rPr>
        <w:t>плодових та/або ягідних культур на земельних ділянках площею 5 гектарів та більше;</w:t>
      </w:r>
    </w:p>
    <w:bookmarkEnd w:id="37"/>
    <w:bookmarkStart w:name="42" w:id="38"/>
    <w:p>
      <w:pPr>
        <w:spacing w:after="75"/>
        <w:ind w:firstLine="240"/>
        <w:jc w:val="both"/>
      </w:pPr>
      <w:r>
        <w:rPr>
          <w:rFonts w:ascii="Arial" w:hAnsi="Arial"/>
          <w:b w:val="false"/>
          <w:i w:val="false"/>
          <w:color w:val="000000"/>
          <w:sz w:val="24"/>
        </w:rPr>
        <w:t>картоплі та/або овочевих культур на земельних ділянках площею 15 гектарів та більше;</w:t>
      </w:r>
    </w:p>
    <w:bookmarkEnd w:id="38"/>
    <w:bookmarkStart w:name="43" w:id="39"/>
    <w:p>
      <w:pPr>
        <w:spacing w:after="75"/>
        <w:ind w:firstLine="240"/>
        <w:jc w:val="both"/>
      </w:pPr>
      <w:r>
        <w:rPr>
          <w:rFonts w:ascii="Arial" w:hAnsi="Arial"/>
          <w:b w:val="false"/>
          <w:i w:val="false"/>
          <w:color w:val="000000"/>
          <w:sz w:val="24"/>
        </w:rPr>
        <w:t>інших сільськогосподарських культур за умови, що при обробітку земельних ділянок площею:</w:t>
      </w:r>
    </w:p>
    <w:bookmarkEnd w:id="39"/>
    <w:bookmarkStart w:name="44" w:id="40"/>
    <w:p>
      <w:pPr>
        <w:spacing w:after="75"/>
        <w:ind w:firstLine="240"/>
        <w:jc w:val="both"/>
      </w:pPr>
      <w:r>
        <w:rPr>
          <w:rFonts w:ascii="Arial" w:hAnsi="Arial"/>
          <w:b w:val="false"/>
          <w:i w:val="false"/>
          <w:color w:val="000000"/>
          <w:sz w:val="24"/>
        </w:rPr>
        <w:t>від 50 до 100 гектарів - чисельність працівників становить не менше 3 осіб;</w:t>
      </w:r>
    </w:p>
    <w:bookmarkEnd w:id="40"/>
    <w:bookmarkStart w:name="45" w:id="41"/>
    <w:p>
      <w:pPr>
        <w:spacing w:after="75"/>
        <w:ind w:firstLine="240"/>
        <w:jc w:val="both"/>
      </w:pPr>
      <w:r>
        <w:rPr>
          <w:rFonts w:ascii="Arial" w:hAnsi="Arial"/>
          <w:b w:val="false"/>
          <w:i w:val="false"/>
          <w:color w:val="000000"/>
          <w:sz w:val="24"/>
        </w:rPr>
        <w:t>від 101 до 200 гектарів - чисельність працівників становить не менше 4 осіб;</w:t>
      </w:r>
    </w:p>
    <w:bookmarkEnd w:id="41"/>
    <w:bookmarkStart w:name="46" w:id="42"/>
    <w:p>
      <w:pPr>
        <w:spacing w:after="75"/>
        <w:ind w:firstLine="240"/>
        <w:jc w:val="both"/>
      </w:pPr>
      <w:r>
        <w:rPr>
          <w:rFonts w:ascii="Arial" w:hAnsi="Arial"/>
          <w:b w:val="false"/>
          <w:i w:val="false"/>
          <w:color w:val="000000"/>
          <w:sz w:val="24"/>
        </w:rPr>
        <w:t>від 201 гектара - чисельність працівників становить не менше 5 осіб;</w:t>
      </w:r>
    </w:p>
    <w:bookmarkEnd w:id="42"/>
    <w:bookmarkStart w:name="47" w:id="43"/>
    <w:p>
      <w:pPr>
        <w:spacing w:after="75"/>
        <w:ind w:firstLine="240"/>
        <w:jc w:val="both"/>
      </w:pPr>
      <w:r>
        <w:rPr>
          <w:rFonts w:ascii="Arial" w:hAnsi="Arial"/>
          <w:b w:val="false"/>
          <w:i w:val="false"/>
          <w:color w:val="000000"/>
          <w:sz w:val="24"/>
        </w:rPr>
        <w:t>з розведення сільськогосподарських тварин, що підтверджується витягом з Єдиного державного реєстру тварин:</w:t>
      </w:r>
    </w:p>
    <w:bookmarkEnd w:id="43"/>
    <w:bookmarkStart w:name="48" w:id="44"/>
    <w:p>
      <w:pPr>
        <w:spacing w:after="75"/>
        <w:ind w:firstLine="240"/>
        <w:jc w:val="both"/>
      </w:pPr>
      <w:r>
        <w:rPr>
          <w:rFonts w:ascii="Arial" w:hAnsi="Arial"/>
          <w:b w:val="false"/>
          <w:i w:val="false"/>
          <w:color w:val="000000"/>
          <w:sz w:val="24"/>
        </w:rPr>
        <w:t>великої рогатої худоби від 25 голів;</w:t>
      </w:r>
    </w:p>
    <w:bookmarkEnd w:id="44"/>
    <w:bookmarkStart w:name="49" w:id="45"/>
    <w:p>
      <w:pPr>
        <w:spacing w:after="75"/>
        <w:ind w:firstLine="240"/>
        <w:jc w:val="both"/>
      </w:pPr>
      <w:r>
        <w:rPr>
          <w:rFonts w:ascii="Arial" w:hAnsi="Arial"/>
          <w:b w:val="false"/>
          <w:i w:val="false"/>
          <w:color w:val="000000"/>
          <w:sz w:val="24"/>
        </w:rPr>
        <w:t>свиней від 200 голів;</w:t>
      </w:r>
    </w:p>
    <w:bookmarkEnd w:id="45"/>
    <w:bookmarkStart w:name="50" w:id="46"/>
    <w:p>
      <w:pPr>
        <w:spacing w:after="75"/>
        <w:ind w:firstLine="240"/>
        <w:jc w:val="both"/>
      </w:pPr>
      <w:r>
        <w:rPr>
          <w:rFonts w:ascii="Arial" w:hAnsi="Arial"/>
          <w:b w:val="false"/>
          <w:i w:val="false"/>
          <w:color w:val="000000"/>
          <w:sz w:val="24"/>
        </w:rPr>
        <w:t>овець та/або кіз від 100 голів;</w:t>
      </w:r>
    </w:p>
    <w:bookmarkEnd w:id="46"/>
    <w:bookmarkStart w:name="52" w:id="47"/>
    <w:p>
      <w:pPr>
        <w:spacing w:after="75"/>
        <w:ind w:firstLine="240"/>
        <w:jc w:val="both"/>
      </w:pPr>
      <w:r>
        <w:rPr>
          <w:rFonts w:ascii="Arial" w:hAnsi="Arial"/>
          <w:b w:val="false"/>
          <w:i w:val="false"/>
          <w:color w:val="000000"/>
          <w:sz w:val="24"/>
        </w:rPr>
        <w:t>9) підприємства, що здійснюють діяльність у сфері рибальства та рибництва (аквакультури) за умови добутих водних біоресурсів та/або реалізованої продукції аквакультури за попередній звітний рік у розмірі не менше 5 тонн, що підтверджується відповідною звітністю про добування водних біоресурсів та аквакультуру з відмітками про отримання;</w:t>
      </w:r>
    </w:p>
    <w:bookmarkEnd w:id="47"/>
    <w:bookmarkStart w:name="54" w:id="48"/>
    <w:p>
      <w:pPr>
        <w:spacing w:after="75"/>
        <w:ind w:firstLine="240"/>
        <w:jc w:val="both"/>
      </w:pPr>
      <w:r>
        <w:rPr>
          <w:rFonts w:ascii="Arial" w:hAnsi="Arial"/>
          <w:b w:val="false"/>
          <w:i w:val="false"/>
          <w:color w:val="000000"/>
          <w:sz w:val="24"/>
        </w:rPr>
        <w:t>10) релоковані в установленому порядку на територію Волинської області підприємства з територій, що наближені або знаходяться в зоні бойових дій, які:</w:t>
      </w:r>
    </w:p>
    <w:bookmarkEnd w:id="48"/>
    <w:bookmarkStart w:name="55" w:id="49"/>
    <w:p>
      <w:pPr>
        <w:spacing w:after="75"/>
        <w:ind w:firstLine="240"/>
        <w:jc w:val="both"/>
      </w:pPr>
      <w:r>
        <w:rPr>
          <w:rFonts w:ascii="Arial" w:hAnsi="Arial"/>
          <w:b w:val="false"/>
          <w:i w:val="false"/>
          <w:color w:val="000000"/>
          <w:sz w:val="24"/>
        </w:rPr>
        <w:t>є економічно активними;</w:t>
      </w:r>
    </w:p>
    <w:bookmarkEnd w:id="49"/>
    <w:bookmarkStart w:name="56" w:id="50"/>
    <w:p>
      <w:pPr>
        <w:spacing w:after="75"/>
        <w:ind w:firstLine="240"/>
        <w:jc w:val="both"/>
      </w:pPr>
      <w:r>
        <w:rPr>
          <w:rFonts w:ascii="Arial" w:hAnsi="Arial"/>
          <w:b w:val="false"/>
          <w:i w:val="false"/>
          <w:color w:val="000000"/>
          <w:sz w:val="24"/>
        </w:rPr>
        <w:t xml:space="preserve">здійснюють діяльність за основним видом згідно з кодами </w:t>
      </w:r>
      <w:r>
        <w:rPr>
          <w:rFonts w:ascii="Arial" w:hAnsi="Arial"/>
          <w:b w:val="false"/>
          <w:i w:val="false"/>
          <w:color w:val="293a55"/>
          <w:sz w:val="24"/>
        </w:rPr>
        <w:t>класифікації видів економічної діяльності</w:t>
      </w:r>
      <w:r>
        <w:rPr>
          <w:rFonts w:ascii="Arial" w:hAnsi="Arial"/>
          <w:b w:val="false"/>
          <w:i w:val="false"/>
          <w:color w:val="000000"/>
          <w:sz w:val="24"/>
        </w:rPr>
        <w:t>, передбаченими підпунктом 7 пункту 1 цих Критеріїв;</w:t>
      </w:r>
    </w:p>
    <w:bookmarkEnd w:id="50"/>
    <w:bookmarkStart w:name="57" w:id="51"/>
    <w:p>
      <w:pPr>
        <w:spacing w:after="75"/>
        <w:ind w:firstLine="240"/>
        <w:jc w:val="both"/>
      </w:pPr>
      <w:r>
        <w:rPr>
          <w:rFonts w:ascii="Arial" w:hAnsi="Arial"/>
          <w:b w:val="false"/>
          <w:i w:val="false"/>
          <w:color w:val="000000"/>
          <w:sz w:val="24"/>
        </w:rPr>
        <w:t>отримали дохід не менше 2 млн грн за останній звітний період (рік, квартал);</w:t>
      </w:r>
    </w:p>
    <w:bookmarkEnd w:id="51"/>
    <w:bookmarkStart w:name="58" w:id="52"/>
    <w:p>
      <w:pPr>
        <w:spacing w:after="75"/>
        <w:ind w:firstLine="240"/>
        <w:jc w:val="both"/>
      </w:pPr>
      <w:r>
        <w:rPr>
          <w:rFonts w:ascii="Arial" w:hAnsi="Arial"/>
          <w:b w:val="false"/>
          <w:i w:val="false"/>
          <w:color w:val="000000"/>
          <w:sz w:val="24"/>
        </w:rPr>
        <w:t>створили не менше 5 нових робочих місць.</w:t>
      </w:r>
    </w:p>
    <w:bookmarkEnd w:id="52"/>
    <w:bookmarkStart w:name="59" w:id="53"/>
    <w:p>
      <w:pPr>
        <w:spacing w:after="75"/>
        <w:ind w:firstLine="240"/>
        <w:jc w:val="both"/>
      </w:pPr>
      <w:r>
        <w:rPr>
          <w:rFonts w:ascii="Arial" w:hAnsi="Arial"/>
          <w:b w:val="false"/>
          <w:i w:val="false"/>
          <w:color w:val="000000"/>
          <w:sz w:val="24"/>
        </w:rPr>
        <w:t xml:space="preserve">Факт релокації та функціонування на території Волинської області підтверджується листом органу місцевого самоврядування, на територію якого підприємство переміщено, копіями податкової декларації та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 додатками), форма якого затверджена </w:t>
      </w:r>
      <w:r>
        <w:rPr>
          <w:rFonts w:ascii="Arial" w:hAnsi="Arial"/>
          <w:b w:val="false"/>
          <w:i w:val="false"/>
          <w:color w:val="293a55"/>
          <w:sz w:val="24"/>
        </w:rPr>
        <w:t>наказом Міністерства фінансів України від 13 січня 2015 року N 4</w:t>
      </w:r>
      <w:r>
        <w:rPr>
          <w:rFonts w:ascii="Arial" w:hAnsi="Arial"/>
          <w:b w:val="false"/>
          <w:i w:val="false"/>
          <w:color w:val="000000"/>
          <w:sz w:val="24"/>
        </w:rPr>
        <w:t xml:space="preserve">, зареєстрованим у Міністерстві юстиції України 30 січня 2015 року за N 111/26556 (у редакції </w:t>
      </w:r>
      <w:r>
        <w:rPr>
          <w:rFonts w:ascii="Arial" w:hAnsi="Arial"/>
          <w:b w:val="false"/>
          <w:i w:val="false"/>
          <w:color w:val="293a55"/>
          <w:sz w:val="24"/>
        </w:rPr>
        <w:t>наказу Міністерства фінансів України від 24 січня 2025 року N 39</w:t>
      </w:r>
      <w:r>
        <w:rPr>
          <w:rFonts w:ascii="Arial" w:hAnsi="Arial"/>
          <w:b w:val="false"/>
          <w:i w:val="false"/>
          <w:color w:val="000000"/>
          <w:sz w:val="24"/>
        </w:rPr>
        <w:t>), за відповідний звітний період з відмітками (штампами) контролюючого органу або квитанцією про прийняття податкової звітності в разі її подання засобами електронного зв'язку;</w:t>
      </w:r>
    </w:p>
    <w:bookmarkEnd w:id="53"/>
    <w:bookmarkStart w:name="60" w:id="54"/>
    <w:p>
      <w:pPr>
        <w:spacing w:after="75"/>
        <w:ind w:firstLine="240"/>
        <w:jc w:val="both"/>
      </w:pPr>
      <w:r>
        <w:rPr>
          <w:rFonts w:ascii="Arial" w:hAnsi="Arial"/>
          <w:b w:val="false"/>
          <w:i w:val="false"/>
          <w:color w:val="000000"/>
          <w:sz w:val="24"/>
        </w:rPr>
        <w:t>11) підприємства з іноземними інвестиціями, в статутному капіталі яких іноземні інвестиції становлять не менше 10 % (але не менше 50000 доларів США), що підтверджується копіями відповідної податкової звітності за останній звітний період;</w:t>
      </w:r>
    </w:p>
    <w:bookmarkEnd w:id="54"/>
    <w:bookmarkStart w:name="61" w:id="55"/>
    <w:p>
      <w:pPr>
        <w:spacing w:after="75"/>
        <w:ind w:firstLine="240"/>
        <w:jc w:val="both"/>
      </w:pPr>
      <w:r>
        <w:rPr>
          <w:rFonts w:ascii="Arial" w:hAnsi="Arial"/>
          <w:b w:val="false"/>
          <w:i w:val="false"/>
          <w:color w:val="000000"/>
          <w:sz w:val="24"/>
        </w:rPr>
        <w:t>12) підприємства, які у період дії воєнного стану здійснили інвестування в нове будівництво, будівництво з відбудови або покращення наявних будівель та споруд, закупівлю обладнання для нового виробництва чи розширення наявного виробництва або модернізацію наявного обладнання, що підтверджується копіями відповідної податкової звітності за останній звітний період та технічної документації на суму більше ніж:</w:t>
      </w:r>
    </w:p>
    <w:bookmarkEnd w:id="55"/>
    <w:bookmarkStart w:name="62" w:id="56"/>
    <w:p>
      <w:pPr>
        <w:spacing w:after="75"/>
        <w:ind w:firstLine="240"/>
        <w:jc w:val="both"/>
      </w:pPr>
      <w:r>
        <w:rPr>
          <w:rFonts w:ascii="Arial" w:hAnsi="Arial"/>
          <w:b w:val="false"/>
          <w:i w:val="false"/>
          <w:color w:val="000000"/>
          <w:sz w:val="24"/>
        </w:rPr>
        <w:t>1,5 млн грн - для підприємств з середньообліковою кількістю працівників за останній звітний період 5 - 10 осіб;</w:t>
      </w:r>
    </w:p>
    <w:bookmarkEnd w:id="56"/>
    <w:bookmarkStart w:name="63" w:id="57"/>
    <w:p>
      <w:pPr>
        <w:spacing w:after="75"/>
        <w:ind w:firstLine="240"/>
        <w:jc w:val="both"/>
      </w:pPr>
      <w:r>
        <w:rPr>
          <w:rFonts w:ascii="Arial" w:hAnsi="Arial"/>
          <w:b w:val="false"/>
          <w:i w:val="false"/>
          <w:color w:val="000000"/>
          <w:sz w:val="24"/>
        </w:rPr>
        <w:t>10 млн грн - для підприємств з середньообліковою кількістю працівників за останній звітний період 11 - 50 осіб;</w:t>
      </w:r>
    </w:p>
    <w:bookmarkEnd w:id="57"/>
    <w:bookmarkStart w:name="64" w:id="58"/>
    <w:p>
      <w:pPr>
        <w:spacing w:after="75"/>
        <w:ind w:firstLine="240"/>
        <w:jc w:val="both"/>
      </w:pPr>
      <w:r>
        <w:rPr>
          <w:rFonts w:ascii="Arial" w:hAnsi="Arial"/>
          <w:b w:val="false"/>
          <w:i w:val="false"/>
          <w:color w:val="000000"/>
          <w:sz w:val="24"/>
        </w:rPr>
        <w:t>20 млн грн - для підприємств з середньообліковою кількістю працівників за останній звітний період 51 - 100 осіб;</w:t>
      </w:r>
    </w:p>
    <w:bookmarkEnd w:id="58"/>
    <w:bookmarkStart w:name="65" w:id="59"/>
    <w:p>
      <w:pPr>
        <w:spacing w:after="75"/>
        <w:ind w:firstLine="240"/>
        <w:jc w:val="both"/>
      </w:pPr>
      <w:r>
        <w:rPr>
          <w:rFonts w:ascii="Arial" w:hAnsi="Arial"/>
          <w:b w:val="false"/>
          <w:i w:val="false"/>
          <w:color w:val="000000"/>
          <w:sz w:val="24"/>
        </w:rPr>
        <w:t>30 млн грн - для підприємств з середньообліковою кількістю працівників за останній звітний період більше 100 осіб.</w:t>
      </w:r>
    </w:p>
    <w:bookmarkEnd w:id="59"/>
    <w:bookmarkStart w:name="66" w:id="60"/>
    <w:p>
      <w:pPr>
        <w:spacing w:after="75"/>
        <w:ind w:firstLine="240"/>
        <w:jc w:val="both"/>
      </w:pPr>
      <w:r>
        <w:rPr>
          <w:rFonts w:ascii="Arial" w:hAnsi="Arial"/>
          <w:b w:val="false"/>
          <w:i w:val="false"/>
          <w:color w:val="000000"/>
          <w:sz w:val="24"/>
        </w:rPr>
        <w:t>2. Рішення про визначення підприємства таким, що має важливе значення для задоволення потреб територіальних громад Волинської області, приймається за умови, що воно відповідає двом або більше критеріям, визначених пунктом 1 цих Критеріїв, кількість застрахованих працівників не менше 5 осіб (крім підприємств, які визначені в абзацах сьомому та восьмому підпункту 8 пункту 1 цих Критеріїв) та з обов'язковою наявністю:</w:t>
      </w:r>
    </w:p>
    <w:bookmarkEnd w:id="60"/>
    <w:bookmarkStart w:name="67" w:id="61"/>
    <w:p>
      <w:pPr>
        <w:spacing w:after="75"/>
        <w:ind w:firstLine="240"/>
        <w:jc w:val="both"/>
      </w:pPr>
      <w:r>
        <w:rPr>
          <w:rFonts w:ascii="Arial" w:hAnsi="Arial"/>
          <w:b w:val="false"/>
          <w:i w:val="false"/>
          <w:color w:val="000000"/>
          <w:sz w:val="24"/>
        </w:rPr>
        <w:t xml:space="preserve">довідки, виданої відповідним районним / міським територіальним центром комплектування та соціальної підтримки (або відділом) за місцем розташування підприємства, установи, організації про виконання вимог пункту 34 Порядку організації та ведення військового обліку призовників, військовозобов'язаних та резервістів, затвердженого </w:t>
      </w:r>
      <w:r>
        <w:rPr>
          <w:rFonts w:ascii="Arial" w:hAnsi="Arial"/>
          <w:b w:val="false"/>
          <w:i w:val="false"/>
          <w:color w:val="293a55"/>
          <w:sz w:val="24"/>
        </w:rPr>
        <w:t>постановою Кабінету Міністрів України від 30 грудня 2022 року N 1487</w:t>
      </w:r>
      <w:r>
        <w:rPr>
          <w:rFonts w:ascii="Arial" w:hAnsi="Arial"/>
          <w:b w:val="false"/>
          <w:i w:val="false"/>
          <w:color w:val="000000"/>
          <w:sz w:val="24"/>
        </w:rPr>
        <w:t>, в частині проведення періодичного звіряння (не рідше одного разу на рік) даних списків персонального військового обліку підприємства, установи, організації з обліковими документами відповідного районного / міського територіального центру комплектування та соціальної підтримки (або відділу), у яких військовозобов'язані перебувають на військовому обліку;</w:t>
      </w:r>
    </w:p>
    <w:bookmarkEnd w:id="61"/>
    <w:bookmarkStart w:name="68" w:id="62"/>
    <w:p>
      <w:pPr>
        <w:spacing w:after="75"/>
        <w:ind w:firstLine="240"/>
        <w:jc w:val="both"/>
      </w:pPr>
      <w:r>
        <w:rPr>
          <w:rFonts w:ascii="Arial" w:hAnsi="Arial"/>
          <w:b w:val="false"/>
          <w:i w:val="false"/>
          <w:color w:val="000000"/>
          <w:sz w:val="24"/>
        </w:rPr>
        <w:t>критерію, визначеного підпунктом 7 пункту 1 цих Критеріїв, для суб'єктів господарювання приватного права;</w:t>
      </w:r>
    </w:p>
    <w:bookmarkEnd w:id="62"/>
    <w:bookmarkStart w:name="69" w:id="63"/>
    <w:p>
      <w:pPr>
        <w:spacing w:after="75"/>
        <w:ind w:firstLine="240"/>
        <w:jc w:val="both"/>
      </w:pPr>
      <w:r>
        <w:rPr>
          <w:rFonts w:ascii="Arial" w:hAnsi="Arial"/>
          <w:b w:val="false"/>
          <w:i w:val="false"/>
          <w:color w:val="000000"/>
          <w:sz w:val="24"/>
        </w:rPr>
        <w:t>критерію, визначеного підпунктом 5 пункту 1 цих Критеріїв, для комунальних підприємств, установ, організацій, засновниками яких є органи державної влади та органи місцевого самоврядування;</w:t>
      </w:r>
    </w:p>
    <w:bookmarkEnd w:id="63"/>
    <w:bookmarkStart w:name="70" w:id="64"/>
    <w:p>
      <w:pPr>
        <w:spacing w:after="75"/>
        <w:ind w:firstLine="240"/>
        <w:jc w:val="both"/>
      </w:pPr>
      <w:r>
        <w:rPr>
          <w:rFonts w:ascii="Arial" w:hAnsi="Arial"/>
          <w:b w:val="false"/>
          <w:i w:val="false"/>
          <w:color w:val="000000"/>
          <w:sz w:val="24"/>
        </w:rPr>
        <w:t>критеріїв, визначених підпунктами 5, 7 пункту 1 цих Критеріїв, для державних підприємств, установ, організацій, засновниками яких є органи державної влади та органи місцевого самоврядування.</w:t>
      </w:r>
    </w:p>
    <w:bookmarkEnd w:id="64"/>
    <w:bookmarkStart w:name="71" w:id="65"/>
    <w:p>
      <w:pPr>
        <w:spacing w:after="75"/>
        <w:ind w:firstLine="240"/>
        <w:jc w:val="both"/>
      </w:pPr>
      <w:r>
        <w:rPr>
          <w:rFonts w:ascii="Arial" w:hAnsi="Arial"/>
          <w:b w:val="false"/>
          <w:i w:val="false"/>
          <w:color w:val="000000"/>
          <w:sz w:val="24"/>
        </w:rPr>
        <w:t xml:space="preserve"> </w:t>
      </w:r>
    </w:p>
    <w:bookmarkEnd w:id="65"/>
    <w:tbl>
      <w:tblPr>
        <w:tblW w:w="0" w:type="auto"/>
        <w:tblCellSpacing w:w="0" w:type="auto"/>
        <w:tblBorders>
          <w:top w:val="single" w:color="e5e2ff" w:sz="8"/>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72" w:id="66"/>
          <w:p>
            <w:pPr>
              <w:spacing w:after="75"/>
              <w:ind w:left="0"/>
              <w:jc w:val="center"/>
            </w:pPr>
            <w:r>
              <w:rPr>
                <w:rFonts w:ascii="Arial" w:hAnsi="Arial"/>
                <w:b/>
                <w:i w:val="false"/>
                <w:color w:val="000000"/>
                <w:sz w:val="15"/>
              </w:rPr>
              <w:t>Директор департаменту економіки,</w:t>
            </w:r>
            <w:r>
              <w:br/>
            </w:r>
            <w:r>
              <w:rPr>
                <w:rFonts w:ascii="Arial" w:hAnsi="Arial"/>
                <w:b/>
                <w:i w:val="false"/>
                <w:color w:val="000000"/>
                <w:sz w:val="15"/>
              </w:rPr>
              <w:t>інвестиційної діяльності та</w:t>
            </w:r>
            <w:r>
              <w:br/>
            </w:r>
            <w:r>
              <w:rPr>
                <w:rFonts w:ascii="Arial" w:hAnsi="Arial"/>
                <w:b/>
                <w:i w:val="false"/>
                <w:color w:val="000000"/>
                <w:sz w:val="15"/>
              </w:rPr>
              <w:t>регіональної політики Волинської</w:t>
            </w:r>
            <w:r>
              <w:br/>
            </w:r>
            <w:r>
              <w:rPr>
                <w:rFonts w:ascii="Arial" w:hAnsi="Arial"/>
                <w:b/>
                <w:i w:val="false"/>
                <w:color w:val="000000"/>
                <w:sz w:val="15"/>
              </w:rPr>
              <w:t>обласної державної адміністрації</w:t>
            </w:r>
          </w:p>
          <w:bookmarkEnd w:id="66"/>
        </w:tc>
        <w:tc>
          <w:tcPr>
            <w:tcW w:w="4845" w:type="dxa"/>
            <w:tcBorders/>
            <w:vAlign w:val="center"/>
          </w:tcPr>
          <w:bookmarkStart w:name="73" w:id="67"/>
          <w:p>
            <w:pPr>
              <w:spacing w:after="75"/>
              <w:ind w:left="0"/>
              <w:jc w:val="center"/>
            </w:pPr>
            <w:r>
              <w:rPr>
                <w:rFonts w:ascii="Arial" w:hAnsi="Arial"/>
                <w:b/>
                <w:i w:val="false"/>
                <w:color w:val="000000"/>
                <w:sz w:val="15"/>
              </w:rPr>
              <w:t>Вероніка БАЛЬБУЗА</w:t>
            </w:r>
          </w:p>
          <w:bookmarkEnd w:id="67"/>
        </w:tc>
      </w:tr>
    </w:tbl>
    <w:bookmarkStart w:name="74" w:id="68"/>
    <w:p>
      <w:pPr>
        <w:spacing w:after="75"/>
        <w:ind w:firstLine="240"/>
        <w:jc w:val="both"/>
      </w:pPr>
    </w:p>
    <w:bookmarkEnd w:id="68"/>
    <w:tbl>
      <w:tblPr>
        <w:tblW w:w="0" w:type="auto"/>
        <w:tblCellSpacing w:w="30" w:type="dxa"/>
        <w:tblBorders>
          <w:top w:val="none"/>
          <w:left w:val="none"/>
          <w:bottom w:val="none"/>
          <w:right w:val="none"/>
          <w:insideH w:val="none"/>
          <w:insideV w:val="none"/>
        </w:tblBorders>
      </w:tblPr>
      <w:tblGrid>
        <w:gridCol w:w="6599"/>
        <w:gridCol w:w="3031"/>
      </w:tblGrid>
      <w:tr>
        <w:trPr>
          <w:trHeight w:val="30" w:hRule="atLeast"/>
        </w:trPr>
        <w:tc>
          <w:tcPr>
            <w:tcW w:w="6599" w:type="dxa"/>
            <w:tcBorders/>
            <w:vAlign w:val="center"/>
          </w:tcPr>
          <w:p/>
        </w:tc>
        <w:tc>
          <w:tcPr>
            <w:tcW w:w="3031" w:type="dxa"/>
            <w:tcBorders/>
            <w:vAlign w:val="center"/>
          </w:tcPr>
          <w:p/>
        </w:tc>
      </w:tr>
      <w:tr>
        <w:trPr>
          <w:trHeight w:val="30" w:hRule="atLeast"/>
        </w:trPr>
        <w:tc>
          <w:tcPr>
            <w:tcW w:w="0" w:type="auto"/>
            <w:gridSpan w:val="2"/>
            <w:tcBorders/>
            <w:vAlign w:val="center"/>
          </w:tcPr>
          <w:p>
            <w:pPr>
              <w:spacing/>
              <w:ind w:left="0"/>
              <w:jc w:val="left"/>
            </w:pPr>
            <w:r>
              <w:rPr>
                <w:rFonts w:ascii="Arial" w:hAnsi="Arial"/>
                <w:b/>
                <w:i w:val="false"/>
                <w:color w:val="000000"/>
                <w:sz w:val="21"/>
              </w:rPr>
              <w:t>Про затвердження Критеріїв, за якими здійснюється визначення підприємств, установ, організацій, які мають важливе значення для задоволення потреб територіальних громад</w:t>
            </w:r>
          </w:p>
        </w:tc>
      </w:tr>
      <w:tr>
        <w:trPr>
          <w:trHeight w:val="30" w:hRule="atLeast"/>
        </w:trPr>
        <w:tc>
          <w:tcPr>
            <w:tcW w:w="6599" w:type="dxa"/>
            <w:tcBorders/>
            <w:vAlign w:val="center"/>
          </w:tcPr>
          <w:p>
            <w:pPr>
              <w:spacing/>
              <w:ind w:left="0"/>
              <w:jc w:val="left"/>
            </w:pPr>
            <w:r>
              <w:rPr>
                <w:rFonts w:ascii="Arial" w:hAnsi="Arial"/>
                <w:b/>
                <w:i w:val="false"/>
                <w:color w:val="000000"/>
                <w:sz w:val="21"/>
              </w:rPr>
              <w:t>Розпорядження</w:t>
            </w:r>
            <w:r>
              <w:rPr>
                <w:rFonts w:ascii="Arial" w:hAnsi="Arial"/>
                <w:b w:val="false"/>
                <w:i w:val="false"/>
                <w:color w:val="000000"/>
                <w:sz w:val="21"/>
              </w:rPr>
              <w:t xml:space="preserve"> від </w:t>
            </w:r>
            <w:r>
              <w:rPr>
                <w:rFonts w:ascii="Arial" w:hAnsi="Arial"/>
                <w:b/>
                <w:i w:val="false"/>
                <w:color w:val="000000"/>
                <w:sz w:val="21"/>
              </w:rPr>
              <w:t>25.06.2026</w:t>
            </w:r>
            <w:r>
              <w:rPr>
                <w:rFonts w:ascii="Arial" w:hAnsi="Arial"/>
                <w:b w:val="false"/>
                <w:i w:val="false"/>
                <w:color w:val="000000"/>
                <w:sz w:val="21"/>
              </w:rPr>
              <w:t xml:space="preserve"> № </w:t>
            </w:r>
            <w:r>
              <w:rPr>
                <w:rFonts w:ascii="Arial" w:hAnsi="Arial"/>
                <w:b/>
                <w:i w:val="false"/>
                <w:color w:val="000000"/>
                <w:sz w:val="21"/>
              </w:rPr>
              <w:t>365</w:t>
            </w:r>
          </w:p>
          <w:p>
            <w:pPr>
              <w:spacing/>
              <w:ind w:left="0"/>
              <w:jc w:val="left"/>
            </w:pPr>
            <w:r>
              <w:rPr>
                <w:rFonts w:ascii="Arial" w:hAnsi="Arial"/>
                <w:b w:val="false"/>
                <w:i w:val="false"/>
                <w:color w:val="000000"/>
                <w:sz w:val="21"/>
              </w:rPr>
              <w:t xml:space="preserve">Статус: </w:t>
            </w:r>
            <w:r>
              <w:rPr>
                <w:rFonts w:ascii="Arial" w:hAnsi="Arial"/>
                <w:b/>
                <w:i w:val="false"/>
                <w:color w:val="000000"/>
                <w:sz w:val="21"/>
              </w:rPr>
              <w:t>Чинний</w:t>
            </w:r>
          </w:p>
          <w:p>
            <w:pPr>
              <w:spacing/>
              <w:ind w:left="0"/>
              <w:jc w:val="left"/>
            </w:pPr>
            <w:r>
              <w:rPr>
                <w:rFonts w:ascii="Arial" w:hAnsi="Arial"/>
                <w:b w:val="false"/>
                <w:i w:val="false"/>
                <w:color w:val="000000"/>
                <w:sz w:val="21"/>
              </w:rPr>
              <w:t xml:space="preserve">Чинна редакція: </w:t>
            </w:r>
            <w:r>
              <w:rPr>
                <w:rFonts w:ascii="Arial" w:hAnsi="Arial"/>
                <w:b/>
                <w:i w:val="false"/>
                <w:color w:val="000000"/>
                <w:sz w:val="21"/>
              </w:rPr>
              <w:t>25.06.2026</w:t>
            </w:r>
          </w:p>
        </w:tc>
        <w:tc>
          <w:tcPr>
            <w:tcW w:w="3031" w:type="dxa"/>
            <w:tcBorders/>
            <w:vAlign w:val="center"/>
          </w:tcPr>
          <w:p>
            <w:r>
              <w:drawing>
                <wp:inline distT="0" distB="0" distL="0" distR="0">
                  <wp:extent cx="1397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397000" cy="1397000"/>
                          </a:xfrm>
                          <a:prstGeom prst="rect">
                            <a:avLst/>
                          </a:prstGeom>
                        </pic:spPr>
                      </pic:pic>
                    </a:graphicData>
                  </a:graphic>
                </wp:inline>
              </w:drawing>
            </w:r>
          </w:p>
        </w:tc>
      </w:tr>
      <w:tr>
        <w:trPr>
          <w:trHeight w:val="30" w:hRule="atLeast"/>
        </w:trPr>
        <w:tc>
          <w:tcPr>
            <w:tcW w:w="0" w:type="auto"/>
            <w:gridSpan w:val="2"/>
            <w:tcBorders/>
            <w:vAlign w:val="center"/>
          </w:tcPr>
          <w:p>
            <w:pPr>
              <w:spacing/>
              <w:ind w:left="0"/>
              <w:jc w:val="left"/>
            </w:pPr>
            <w:r>
              <w:rPr>
                <w:rFonts w:ascii="Arial" w:hAnsi="Arial"/>
                <w:b w:val="false"/>
                <w:i w:val="false"/>
                <w:color w:val="000000"/>
                <w:sz w:val="21"/>
              </w:rPr>
              <w:t>Адреса документа:</w:t>
            </w:r>
          </w:p>
          <w:p>
            <w:pPr>
              <w:spacing/>
              <w:ind w:left="0"/>
              <w:jc w:val="left"/>
            </w:pPr>
            <w:r>
              <w:rPr>
                <w:rFonts w:ascii="Arial" w:hAnsi="Arial"/>
                <w:b w:val="false"/>
                <w:i w:val="false"/>
                <w:color w:val="000000"/>
                <w:sz w:val="21"/>
              </w:rPr>
              <w:t xml:space="preserve"> </w:t>
            </w:r>
            <w:r>
              <w:rPr>
                <w:rFonts w:ascii="Arial" w:hAnsi="Arial"/>
                <w:b/>
                <w:i w:val="false"/>
                <w:color w:val="000000"/>
                <w:sz w:val="18"/>
              </w:rPr>
              <w:t>https://zakon-pro.ligazakon.net/document/VO260013</w:t>
            </w:r>
          </w:p>
        </w:tc>
      </w:tr>
    </w:tbl>
    <w:tbl>
      <w:tblPr>
        <w:tblW w:w="0" w:type="auto"/>
        <w:tblCellSpacing w:w="0" w:type="auto"/>
        <w:tblBorders>
          <w:top w:val="single" w:color="e5e2ff" w:sz="8"/>
          <w:left w:val="none"/>
          <w:bottom w:val="none"/>
          <w:right w:val="none"/>
          <w:insideH w:val="none"/>
          <w:insideV w:val="none"/>
        </w:tblBorders>
      </w:tblPr>
      <w:tblGrid>
        <w:gridCol w:w="8721"/>
        <w:gridCol w:w="969"/>
      </w:tblGrid>
      <w:tr>
        <w:trPr>
          <w:trHeight w:val="195" w:hRule="atLeast"/>
        </w:trPr>
        <w:tc>
          <w:tcPr>
            <w:tcW w:w="8721" w:type="dxa"/>
            <w:tcBorders/>
            <w:vAlign w:val="center"/>
          </w:tcPr>
          <w:p>
            <w:pPr>
              <w:spacing w:after="0"/>
              <w:ind w:left="0"/>
              <w:jc w:val="left"/>
            </w:pPr>
            <w:r>
              <w:rPr>
                <w:rFonts w:ascii="Arial" w:hAnsi="Arial"/>
                <w:b w:val="false"/>
                <w:i w:val="false"/>
                <w:color w:val="000000"/>
                <w:sz w:val="18"/>
              </w:rPr>
              <w:t>© ТОВ "Інформаційно-аналітичний центр "ЛІГА", 2026</w:t>
            </w:r>
            <w:r>
              <w:br/>
            </w:r>
            <w:r>
              <w:rPr>
                <w:rFonts w:ascii="Arial" w:hAnsi="Arial"/>
                <w:b w:val="false"/>
                <w:i w:val="false"/>
                <w:color w:val="000000"/>
                <w:sz w:val="18"/>
              </w:rPr>
              <w:t>© ТОВ "ЛІГА ЗАКОН", 2026</w:t>
            </w:r>
          </w:p>
        </w:tc>
        <w:tc>
          <w:tcPr>
            <w:tcW w:w="969" w:type="dxa"/>
            <w:tcBorders/>
            <w:vAlign w:val="center"/>
          </w:tcPr>
          <w:p>
            <w:pPr>
              <w:spacing w:after="0"/>
              <w:ind w:left="0"/>
              <w:jc w:val="left"/>
            </w:pPr>
          </w:p>
        </w:tc>
      </w:tr>
    </w:tbl>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uk-UA" w:eastAsia="uk-UA"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uk-UA" w:eastAsia="uk-UA"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