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130D6" w14:textId="77777777" w:rsidR="00053EE7" w:rsidRPr="006D5130" w:rsidRDefault="00053EE7" w:rsidP="00053EE7">
      <w:pPr>
        <w:spacing w:after="0" w:line="240" w:lineRule="auto"/>
        <w:ind w:left="5103"/>
        <w:rPr>
          <w:rFonts w:ascii="Times New Roman" w:hAnsi="Times New Roman" w:cs="Times New Roman"/>
          <w:b/>
          <w:sz w:val="27"/>
          <w:szCs w:val="27"/>
          <w:lang w:val="en-US"/>
        </w:rPr>
      </w:pPr>
    </w:p>
    <w:p w14:paraId="4ECB55BC" w14:textId="77777777" w:rsidR="00053EE7" w:rsidRPr="00290CE4" w:rsidRDefault="00053EE7" w:rsidP="00053EE7">
      <w:pPr>
        <w:spacing w:after="0" w:line="240" w:lineRule="auto"/>
        <w:ind w:left="5103"/>
        <w:rPr>
          <w:rFonts w:ascii="Times New Roman" w:hAnsi="Times New Roman" w:cs="Times New Roman"/>
          <w:b/>
          <w:sz w:val="27"/>
          <w:szCs w:val="27"/>
        </w:rPr>
      </w:pPr>
    </w:p>
    <w:p w14:paraId="69A4FEE3" w14:textId="77777777" w:rsidR="00053EE7" w:rsidRPr="00290CE4" w:rsidRDefault="00053EE7" w:rsidP="00053EE7">
      <w:pPr>
        <w:spacing w:after="0" w:line="240" w:lineRule="auto"/>
        <w:ind w:left="5103"/>
        <w:rPr>
          <w:rFonts w:ascii="Times New Roman" w:hAnsi="Times New Roman" w:cs="Times New Roman"/>
          <w:b/>
          <w:sz w:val="27"/>
          <w:szCs w:val="27"/>
        </w:rPr>
      </w:pPr>
    </w:p>
    <w:p w14:paraId="715620C2" w14:textId="7CD989B1" w:rsidR="000465EC" w:rsidRDefault="000465EC" w:rsidP="00053EE7">
      <w:pPr>
        <w:spacing w:after="0" w:line="240" w:lineRule="auto"/>
        <w:ind w:left="5103"/>
        <w:rPr>
          <w:rFonts w:ascii="Times New Roman" w:hAnsi="Times New Roman" w:cs="Times New Roman"/>
          <w:b/>
          <w:sz w:val="27"/>
          <w:szCs w:val="27"/>
        </w:rPr>
      </w:pPr>
    </w:p>
    <w:p w14:paraId="408451B9" w14:textId="77777777" w:rsidR="00C93ACD" w:rsidRDefault="00C93ACD" w:rsidP="00053EE7">
      <w:pPr>
        <w:spacing w:after="0" w:line="240" w:lineRule="auto"/>
        <w:ind w:left="5103"/>
        <w:rPr>
          <w:rFonts w:ascii="Times New Roman" w:hAnsi="Times New Roman" w:cs="Times New Roman"/>
          <w:b/>
          <w:sz w:val="27"/>
          <w:szCs w:val="27"/>
        </w:rPr>
      </w:pPr>
    </w:p>
    <w:p w14:paraId="007E656F" w14:textId="77777777" w:rsidR="00290CE4" w:rsidRPr="00290CE4" w:rsidRDefault="00290CE4" w:rsidP="00053EE7">
      <w:pPr>
        <w:spacing w:after="0" w:line="240" w:lineRule="auto"/>
        <w:ind w:left="5103"/>
        <w:rPr>
          <w:rFonts w:ascii="Times New Roman" w:hAnsi="Times New Roman" w:cs="Times New Roman"/>
          <w:b/>
          <w:sz w:val="27"/>
          <w:szCs w:val="27"/>
        </w:rPr>
      </w:pPr>
    </w:p>
    <w:p w14:paraId="273892F7" w14:textId="0E0F600F" w:rsidR="000465EC" w:rsidRDefault="000465EC" w:rsidP="00053EE7">
      <w:pPr>
        <w:spacing w:after="0" w:line="240" w:lineRule="auto"/>
        <w:ind w:left="5103"/>
        <w:rPr>
          <w:rFonts w:ascii="Times New Roman" w:hAnsi="Times New Roman" w:cs="Times New Roman"/>
          <w:b/>
          <w:sz w:val="27"/>
          <w:szCs w:val="27"/>
        </w:rPr>
      </w:pPr>
    </w:p>
    <w:p w14:paraId="45830C86" w14:textId="4F844F9D" w:rsidR="00990671" w:rsidRDefault="00990671" w:rsidP="00493362">
      <w:pPr>
        <w:spacing w:after="0" w:line="240" w:lineRule="auto"/>
        <w:ind w:left="5103"/>
        <w:rPr>
          <w:rFonts w:ascii="Times New Roman" w:hAnsi="Times New Roman"/>
          <w:sz w:val="27"/>
          <w:szCs w:val="27"/>
        </w:rPr>
      </w:pPr>
    </w:p>
    <w:p w14:paraId="6E63F1EC" w14:textId="77777777" w:rsidR="00493362" w:rsidRPr="00290CE4" w:rsidRDefault="00493362" w:rsidP="0049336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5AF99BF4" w14:textId="032EAA4F" w:rsidR="00540A94" w:rsidRPr="00290CE4" w:rsidRDefault="00540A94" w:rsidP="0049336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290CE4">
        <w:rPr>
          <w:rFonts w:ascii="Times New Roman" w:eastAsia="Calibri" w:hAnsi="Times New Roman" w:cs="Times New Roman"/>
          <w:sz w:val="27"/>
          <w:szCs w:val="27"/>
          <w:lang w:eastAsia="ru-RU"/>
        </w:rPr>
        <w:t>Індивідуальна податкова консультація</w:t>
      </w:r>
    </w:p>
    <w:p w14:paraId="75FAFCEE" w14:textId="77777777" w:rsidR="005128EB" w:rsidRPr="00290CE4" w:rsidRDefault="005128EB" w:rsidP="0049336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37C9494A" w14:textId="0972957C" w:rsidR="00493362" w:rsidRPr="00290CE4" w:rsidRDefault="00493362" w:rsidP="00493362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bookmarkStart w:id="0" w:name="_Hlk139606929"/>
      <w:r w:rsidRPr="00290CE4">
        <w:rPr>
          <w:rFonts w:ascii="Times New Roman" w:hAnsi="Times New Roman"/>
          <w:sz w:val="27"/>
          <w:szCs w:val="27"/>
        </w:rPr>
        <w:t xml:space="preserve">Державна податкова  служба України за результатами розгляду звернення  фізичної особи – підприємця </w:t>
      </w:r>
      <w:r w:rsidR="003E1AA1">
        <w:rPr>
          <w:rFonts w:ascii="Times New Roman" w:hAnsi="Times New Roman"/>
          <w:sz w:val="27"/>
          <w:szCs w:val="27"/>
        </w:rPr>
        <w:t xml:space="preserve">… </w:t>
      </w:r>
      <w:r w:rsidRPr="00290CE4">
        <w:rPr>
          <w:rFonts w:ascii="Times New Roman" w:hAnsi="Times New Roman"/>
          <w:sz w:val="27"/>
          <w:szCs w:val="27"/>
        </w:rPr>
        <w:t>(далі – Підприємець)</w:t>
      </w:r>
      <w:r w:rsidR="00D85D1B">
        <w:rPr>
          <w:rFonts w:ascii="Times New Roman" w:hAnsi="Times New Roman"/>
          <w:sz w:val="27"/>
          <w:szCs w:val="27"/>
        </w:rPr>
        <w:t xml:space="preserve"> </w:t>
      </w:r>
      <w:bookmarkStart w:id="1" w:name="_GoBack"/>
      <w:bookmarkEnd w:id="1"/>
      <w:r w:rsidRPr="00290CE4">
        <w:rPr>
          <w:rFonts w:ascii="Times New Roman" w:hAnsi="Times New Roman"/>
          <w:sz w:val="27"/>
          <w:szCs w:val="27"/>
        </w:rPr>
        <w:t>(</w:t>
      </w:r>
      <w:proofErr w:type="spellStart"/>
      <w:r w:rsidRPr="00290CE4">
        <w:rPr>
          <w:rFonts w:ascii="Times New Roman" w:hAnsi="Times New Roman"/>
          <w:sz w:val="27"/>
          <w:szCs w:val="27"/>
        </w:rPr>
        <w:t>вх</w:t>
      </w:r>
      <w:proofErr w:type="spellEnd"/>
      <w:r w:rsidRPr="00290CE4">
        <w:rPr>
          <w:rFonts w:ascii="Times New Roman" w:hAnsi="Times New Roman"/>
          <w:sz w:val="27"/>
          <w:szCs w:val="27"/>
        </w:rPr>
        <w:t xml:space="preserve">. ДПС </w:t>
      </w:r>
      <w:r w:rsidR="00D85D1B">
        <w:rPr>
          <w:rFonts w:ascii="Times New Roman" w:hAnsi="Times New Roman"/>
          <w:sz w:val="27"/>
          <w:szCs w:val="27"/>
        </w:rPr>
        <w:br/>
      </w:r>
      <w:r w:rsidRPr="00290CE4">
        <w:rPr>
          <w:rFonts w:ascii="Times New Roman" w:hAnsi="Times New Roman"/>
          <w:sz w:val="27"/>
          <w:szCs w:val="27"/>
        </w:rPr>
        <w:t xml:space="preserve">№ </w:t>
      </w:r>
      <w:r w:rsidR="003E1AA1">
        <w:rPr>
          <w:rFonts w:ascii="Times New Roman" w:hAnsi="Times New Roman"/>
          <w:sz w:val="27"/>
          <w:szCs w:val="27"/>
        </w:rPr>
        <w:t>…</w:t>
      </w:r>
      <w:r w:rsidRPr="00290CE4">
        <w:rPr>
          <w:rFonts w:ascii="Times New Roman" w:hAnsi="Times New Roman"/>
          <w:sz w:val="27"/>
          <w:szCs w:val="27"/>
        </w:rPr>
        <w:t xml:space="preserve"> від </w:t>
      </w:r>
      <w:r w:rsidR="003E1AA1">
        <w:rPr>
          <w:rFonts w:ascii="Times New Roman" w:hAnsi="Times New Roman"/>
          <w:sz w:val="27"/>
          <w:szCs w:val="27"/>
        </w:rPr>
        <w:t>…</w:t>
      </w:r>
      <w:r w:rsidRPr="00290CE4">
        <w:rPr>
          <w:rFonts w:ascii="Times New Roman" w:hAnsi="Times New Roman"/>
          <w:sz w:val="27"/>
          <w:szCs w:val="27"/>
        </w:rPr>
        <w:t xml:space="preserve">) про </w:t>
      </w:r>
      <w:r w:rsidRPr="00290CE4">
        <w:rPr>
          <w:rFonts w:ascii="Times New Roman" w:hAnsi="Times New Roman"/>
          <w:sz w:val="27"/>
          <w:szCs w:val="27"/>
          <w:lang w:eastAsia="ru-RU"/>
        </w:rPr>
        <w:t>надання індивідуальної податкової консультації, керуючись статтею 52 Податкового кодексу України (далі – Кодекс), повідомляє таке.</w:t>
      </w:r>
    </w:p>
    <w:p w14:paraId="2CA5937C" w14:textId="74106A95" w:rsidR="001060C6" w:rsidRPr="00290CE4" w:rsidRDefault="00EB3196" w:rsidP="00CB034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eastAsia="Calibri" w:hAnsi="Times New Roman" w:cs="Times New Roman"/>
          <w:sz w:val="27"/>
          <w:szCs w:val="27"/>
        </w:rPr>
        <w:t>У зв’язку із складністю розуміння законодавства у сфері здійснення розрахунків за товари</w:t>
      </w:r>
      <w:r w:rsidR="00010C82" w:rsidRPr="00290CE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060C6" w:rsidRPr="00290CE4">
        <w:rPr>
          <w:rFonts w:ascii="Times New Roman" w:hAnsi="Times New Roman" w:cs="Times New Roman"/>
          <w:sz w:val="27"/>
          <w:szCs w:val="27"/>
        </w:rPr>
        <w:t>Підприєм</w:t>
      </w:r>
      <w:r w:rsidR="00010C82" w:rsidRPr="00290CE4">
        <w:rPr>
          <w:rFonts w:ascii="Times New Roman" w:hAnsi="Times New Roman" w:cs="Times New Roman"/>
          <w:sz w:val="27"/>
          <w:szCs w:val="27"/>
        </w:rPr>
        <w:t>ець</w:t>
      </w:r>
      <w:r w:rsidR="001060C6" w:rsidRPr="00290CE4">
        <w:rPr>
          <w:rFonts w:ascii="Times New Roman" w:hAnsi="Times New Roman" w:cs="Times New Roman"/>
          <w:sz w:val="27"/>
          <w:szCs w:val="27"/>
        </w:rPr>
        <w:t xml:space="preserve"> зверну</w:t>
      </w:r>
      <w:r w:rsidR="00010C82" w:rsidRPr="00290CE4">
        <w:rPr>
          <w:rFonts w:ascii="Times New Roman" w:hAnsi="Times New Roman" w:cs="Times New Roman"/>
          <w:sz w:val="27"/>
          <w:szCs w:val="27"/>
        </w:rPr>
        <w:t>вся до контролюючого органу</w:t>
      </w:r>
      <w:r w:rsidR="001060C6" w:rsidRPr="00290CE4">
        <w:rPr>
          <w:rFonts w:ascii="Times New Roman" w:hAnsi="Times New Roman" w:cs="Times New Roman"/>
          <w:sz w:val="27"/>
          <w:szCs w:val="27"/>
        </w:rPr>
        <w:t xml:space="preserve"> із наступними питаннями:</w:t>
      </w:r>
    </w:p>
    <w:p w14:paraId="46AEDA2B" w14:textId="42A24EFA" w:rsidR="00010C82" w:rsidRPr="00290CE4" w:rsidRDefault="001060C6" w:rsidP="00BC273B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1</w:t>
      </w:r>
      <w:r w:rsidR="00010C82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)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BC273B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Ч</w:t>
      </w:r>
      <w:r w:rsidR="00010C82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и буде вважатися розрахунок фізичної особи із суб’єктом господарювання за товари за допомогою платіжної картки через платіжний термінал, встановлений у закладі торгівлі суб’єкта господарювання, готівковим розрахунком?</w:t>
      </w:r>
    </w:p>
    <w:p w14:paraId="76AE060B" w14:textId="6227B346" w:rsidR="00010C82" w:rsidRPr="00290CE4" w:rsidRDefault="00010C82" w:rsidP="00CB03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2) </w:t>
      </w:r>
      <w:r w:rsidR="00BC273B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Ч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 поширюються </w:t>
      </w:r>
      <w:r w:rsidR="00D85D1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законодавче 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обмеження пункту 6 розділу ІІ Положення </w:t>
      </w:r>
      <w:r w:rsidR="00D85D1B">
        <w:rPr>
          <w:rFonts w:ascii="Times New Roman" w:eastAsia="Times New Roman" w:hAnsi="Times New Roman" w:cs="Times New Roman"/>
          <w:sz w:val="27"/>
          <w:szCs w:val="27"/>
          <w:lang w:eastAsia="uk-UA"/>
        </w:rPr>
        <w:br/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№ 148 щодо граничної суми розрахунків</w:t>
      </w:r>
      <w:r w:rsidR="00D85D1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(50000 грн)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на </w:t>
      </w:r>
      <w:r w:rsidR="00D85D1B">
        <w:rPr>
          <w:rFonts w:ascii="Times New Roman" w:eastAsia="Times New Roman" w:hAnsi="Times New Roman" w:cs="Times New Roman"/>
          <w:sz w:val="27"/>
          <w:szCs w:val="27"/>
          <w:lang w:eastAsia="uk-UA"/>
        </w:rPr>
        <w:t>операції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D85D1B">
        <w:rPr>
          <w:rFonts w:ascii="Times New Roman" w:eastAsia="Times New Roman" w:hAnsi="Times New Roman" w:cs="Times New Roman"/>
          <w:sz w:val="27"/>
          <w:szCs w:val="27"/>
          <w:lang w:eastAsia="uk-UA"/>
        </w:rPr>
        <w:t>що здійснюються виключно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із застосуванням електронних платіжних засобів (платіжних карток)?</w:t>
      </w:r>
    </w:p>
    <w:p w14:paraId="6522359B" w14:textId="6A9616C6" w:rsidR="00010C82" w:rsidRPr="00290CE4" w:rsidRDefault="00010C82" w:rsidP="00CB03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3) </w:t>
      </w:r>
      <w:r w:rsidR="00BC273B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Ч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 можливо провести комбінований </w:t>
      </w:r>
      <w:r w:rsidR="00BC273B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розрахунок за одиницю товару, в тому числі товару, вартість одиниці якого перевищує 50000 грн, платіжною карткою та готівковими коштами в одному розрахунковому документі?</w:t>
      </w:r>
    </w:p>
    <w:p w14:paraId="289DADBE" w14:textId="5103AD5C" w:rsidR="0088099D" w:rsidRPr="00290CE4" w:rsidRDefault="0081160E" w:rsidP="00755B61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290CE4">
        <w:rPr>
          <w:rFonts w:ascii="Times New Roman" w:hAnsi="Times New Roman"/>
          <w:sz w:val="27"/>
          <w:szCs w:val="27"/>
        </w:rPr>
        <w:t>З</w:t>
      </w:r>
      <w:r w:rsidR="003D442C" w:rsidRPr="00290CE4">
        <w:rPr>
          <w:rFonts w:ascii="Times New Roman" w:hAnsi="Times New Roman"/>
          <w:sz w:val="27"/>
          <w:szCs w:val="27"/>
        </w:rPr>
        <w:t xml:space="preserve">вертаємо увагу, </w:t>
      </w:r>
      <w:r w:rsidR="0088099D" w:rsidRPr="00290CE4">
        <w:rPr>
          <w:rFonts w:ascii="Times New Roman" w:hAnsi="Times New Roman"/>
          <w:sz w:val="27"/>
          <w:szCs w:val="27"/>
        </w:rPr>
        <w:t xml:space="preserve">у тексті звернення Підприємець посилається на нормативно-правові акти, що втратили чинність, зокрема, Закон України від 05 квітня 2001 року </w:t>
      </w:r>
      <w:r w:rsidR="00290CE4">
        <w:rPr>
          <w:rFonts w:ascii="Times New Roman" w:hAnsi="Times New Roman"/>
          <w:sz w:val="27"/>
          <w:szCs w:val="27"/>
        </w:rPr>
        <w:br/>
      </w:r>
      <w:r w:rsidR="0088099D" w:rsidRPr="00290CE4">
        <w:rPr>
          <w:rFonts w:ascii="Times New Roman" w:hAnsi="Times New Roman"/>
          <w:sz w:val="27"/>
          <w:szCs w:val="27"/>
        </w:rPr>
        <w:t>№ 2346-ІІІ «Про</w:t>
      </w:r>
      <w:r w:rsidRPr="00290CE4">
        <w:rPr>
          <w:rFonts w:ascii="Times New Roman" w:hAnsi="Times New Roman"/>
          <w:sz w:val="27"/>
          <w:szCs w:val="27"/>
        </w:rPr>
        <w:t xml:space="preserve"> </w:t>
      </w:r>
      <w:r w:rsidR="0088099D" w:rsidRPr="00290CE4">
        <w:rPr>
          <w:rFonts w:ascii="Times New Roman" w:hAnsi="Times New Roman"/>
          <w:sz w:val="27"/>
          <w:szCs w:val="27"/>
        </w:rPr>
        <w:t xml:space="preserve"> платіжні системи та переказ коштів в Україні» та Інструкція про безготівкові розрахунки в Україні в національній валюті, затвердженої постановою Правління Національного банку України від 21.01.2004 № 22.</w:t>
      </w:r>
    </w:p>
    <w:p w14:paraId="04BB0815" w14:textId="16D6336A" w:rsidR="002C2146" w:rsidRPr="00290CE4" w:rsidRDefault="002C2146" w:rsidP="00DE1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90CE4">
        <w:rPr>
          <w:rFonts w:ascii="Times New Roman" w:hAnsi="Times New Roman"/>
          <w:sz w:val="27"/>
          <w:szCs w:val="27"/>
        </w:rPr>
        <w:t>Щодо питання 1</w:t>
      </w:r>
    </w:p>
    <w:p w14:paraId="27EDDFF2" w14:textId="274C5FCA" w:rsidR="00DE1D1F" w:rsidRPr="00290CE4" w:rsidRDefault="00DE1D1F" w:rsidP="00DE1D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>Правові засади застосування</w:t>
      </w:r>
      <w:r w:rsidR="000E379E" w:rsidRPr="000E379E">
        <w:rPr>
          <w:rFonts w:ascii="Times New Roman" w:hAnsi="Times New Roman" w:cs="Times New Roman"/>
          <w:sz w:val="27"/>
          <w:szCs w:val="27"/>
        </w:rPr>
        <w:t xml:space="preserve"> </w:t>
      </w:r>
      <w:r w:rsidR="000E379E">
        <w:rPr>
          <w:rFonts w:ascii="Times New Roman" w:hAnsi="Times New Roman" w:cs="Times New Roman"/>
          <w:sz w:val="27"/>
          <w:szCs w:val="27"/>
        </w:rPr>
        <w:t>реєстра</w:t>
      </w:r>
      <w:r w:rsidR="000E379E" w:rsidRPr="00290CE4">
        <w:rPr>
          <w:rFonts w:ascii="Times New Roman" w:hAnsi="Times New Roman" w:cs="Times New Roman"/>
          <w:sz w:val="27"/>
          <w:szCs w:val="27"/>
        </w:rPr>
        <w:t>тор</w:t>
      </w:r>
      <w:r w:rsidR="000E379E">
        <w:rPr>
          <w:rFonts w:ascii="Times New Roman" w:hAnsi="Times New Roman" w:cs="Times New Roman"/>
          <w:sz w:val="27"/>
          <w:szCs w:val="27"/>
        </w:rPr>
        <w:t>ів</w:t>
      </w:r>
      <w:r w:rsidR="000E379E" w:rsidRPr="00290CE4">
        <w:rPr>
          <w:rFonts w:ascii="Times New Roman" w:hAnsi="Times New Roman" w:cs="Times New Roman"/>
          <w:sz w:val="27"/>
          <w:szCs w:val="27"/>
        </w:rPr>
        <w:t xml:space="preserve"> розрахункових операцій (далі – РРО) або програмн</w:t>
      </w:r>
      <w:r w:rsidR="000E379E">
        <w:rPr>
          <w:rFonts w:ascii="Times New Roman" w:hAnsi="Times New Roman" w:cs="Times New Roman"/>
          <w:sz w:val="27"/>
          <w:szCs w:val="27"/>
        </w:rPr>
        <w:t>их</w:t>
      </w:r>
      <w:r w:rsidR="000E379E" w:rsidRPr="00290CE4">
        <w:rPr>
          <w:rFonts w:ascii="Times New Roman" w:hAnsi="Times New Roman" w:cs="Times New Roman"/>
          <w:sz w:val="27"/>
          <w:szCs w:val="27"/>
        </w:rPr>
        <w:t xml:space="preserve"> РРО (далі – ПРРО)</w:t>
      </w:r>
      <w:r w:rsidRPr="00290CE4">
        <w:rPr>
          <w:rFonts w:ascii="Times New Roman" w:hAnsi="Times New Roman" w:cs="Times New Roman"/>
          <w:sz w:val="27"/>
          <w:szCs w:val="27"/>
        </w:rPr>
        <w:t xml:space="preserve"> у сфері торгівлі, громадського харчування та послуг встановлені в Законі України від 06 липня 1995 року</w:t>
      </w:r>
      <w:r w:rsidR="000E379E">
        <w:rPr>
          <w:rFonts w:ascii="Times New Roman" w:hAnsi="Times New Roman" w:cs="Times New Roman"/>
          <w:sz w:val="27"/>
          <w:szCs w:val="27"/>
        </w:rPr>
        <w:t xml:space="preserve"> </w:t>
      </w:r>
      <w:r w:rsidRPr="00290CE4">
        <w:rPr>
          <w:rFonts w:ascii="Times New Roman" w:hAnsi="Times New Roman" w:cs="Times New Roman"/>
          <w:sz w:val="27"/>
          <w:szCs w:val="27"/>
        </w:rPr>
        <w:t>№ 265/95-ВР «Про застосування реєстраторів розрахункових операцій у сфері торгівлі, громадського харчування та послуг» (далі – Закон № 265) та нормативно-правових актах, прийнятих на його виконання.</w:t>
      </w:r>
    </w:p>
    <w:p w14:paraId="6BB50C98" w14:textId="77777777" w:rsidR="00DE1D1F" w:rsidRPr="00290CE4" w:rsidRDefault="00DE1D1F" w:rsidP="00DE1D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>Дія Закону № 265 поширюється на усіх суб’єктів господарювання, їх господарські одиниці та представників (уповноважених осіб) суб’єктів господарювання, які здійснюють розрахунки у готівковій та/або безготівковій формі у сфері торгівлі, громадського харчування та послуг, а порядок проведення таких розрахунків встановлено в розділі ІІ Закону № 265.</w:t>
      </w:r>
    </w:p>
    <w:p w14:paraId="1BB12094" w14:textId="1F4205A6" w:rsidR="00DE1D1F" w:rsidRPr="00290CE4" w:rsidRDefault="00DE1D1F" w:rsidP="00DE1D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lastRenderedPageBreak/>
        <w:t>Звертаємо увагу, що Закон № 265 не містить визначення «безготівкові та/або готівкові розрахунки».</w:t>
      </w:r>
    </w:p>
    <w:p w14:paraId="753B7CE5" w14:textId="64F42098" w:rsidR="00DE1D1F" w:rsidRPr="00290CE4" w:rsidRDefault="00DE1D1F" w:rsidP="00DE1D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>Разом із цим, відповідно до пункту 3 частини першої статті 1 Закону України від 30 червня 2021 року № 1591-IX «Про платіжні послуги»</w:t>
      </w:r>
      <w:r w:rsidR="003D442C" w:rsidRPr="00290CE4">
        <w:rPr>
          <w:rFonts w:ascii="Times New Roman" w:hAnsi="Times New Roman" w:cs="Times New Roman"/>
          <w:sz w:val="27"/>
          <w:szCs w:val="27"/>
        </w:rPr>
        <w:t xml:space="preserve"> (далі – Закон № 1591)</w:t>
      </w:r>
      <w:r w:rsidRPr="00290CE4">
        <w:rPr>
          <w:rFonts w:ascii="Times New Roman" w:hAnsi="Times New Roman" w:cs="Times New Roman"/>
          <w:sz w:val="27"/>
          <w:szCs w:val="27"/>
        </w:rPr>
        <w:t xml:space="preserve"> безготівкові розрахунки – перерахування коштів з рахунків платників на рахунки отримувачів, а також перерахування надавачами платіжних послуг коштів, внесених платниками готівкою, на рахунки отримувачів.  </w:t>
      </w:r>
    </w:p>
    <w:p w14:paraId="049344BC" w14:textId="142B3F59" w:rsidR="003D442C" w:rsidRPr="00290CE4" w:rsidRDefault="003D442C" w:rsidP="00DE1D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 xml:space="preserve">Згідно з пунктом 56 частини першої статті 1 Закону № 1591 платіжна </w:t>
      </w:r>
      <w:r w:rsidRPr="00290CE4">
        <w:rPr>
          <w:rFonts w:ascii="Times New Roman" w:hAnsi="Times New Roman" w:cs="Times New Roman"/>
          <w:sz w:val="27"/>
          <w:szCs w:val="27"/>
        </w:rPr>
        <w:br/>
        <w:t>картка – електронний платіжний засіб у вигляді пластикової чи іншого виду картки.</w:t>
      </w:r>
    </w:p>
    <w:p w14:paraId="063340B3" w14:textId="2799ABE0" w:rsidR="00DE1D1F" w:rsidRPr="00290CE4" w:rsidRDefault="00DE1D1F" w:rsidP="00DE1D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 xml:space="preserve">Слід зазначити, що згідно з підпунктом 5 пункту 3 розділу І Положення про ведення касових операцій у національній валюті в Україні, затвердженої постановою Правління Національного банку України від 29.12.2017 № 148 </w:t>
      </w:r>
      <w:r w:rsidRPr="00290CE4">
        <w:rPr>
          <w:rFonts w:ascii="Times New Roman" w:hAnsi="Times New Roman" w:cs="Times New Roman"/>
          <w:sz w:val="27"/>
          <w:szCs w:val="27"/>
        </w:rPr>
        <w:br/>
        <w:t xml:space="preserve">(далі – </w:t>
      </w:r>
      <w:r w:rsidR="00D85D1B" w:rsidRPr="00290CE4">
        <w:rPr>
          <w:rFonts w:ascii="Times New Roman" w:hAnsi="Times New Roman" w:cs="Times New Roman"/>
          <w:sz w:val="27"/>
          <w:szCs w:val="27"/>
        </w:rPr>
        <w:t xml:space="preserve">Положення </w:t>
      </w:r>
      <w:r w:rsidRPr="00290CE4">
        <w:rPr>
          <w:rFonts w:ascii="Times New Roman" w:hAnsi="Times New Roman" w:cs="Times New Roman"/>
          <w:sz w:val="27"/>
          <w:szCs w:val="27"/>
        </w:rPr>
        <w:t>№</w:t>
      </w:r>
      <w:r w:rsidR="0088099D" w:rsidRPr="00290CE4">
        <w:rPr>
          <w:rFonts w:ascii="Times New Roman" w:hAnsi="Times New Roman" w:cs="Times New Roman"/>
          <w:sz w:val="27"/>
          <w:szCs w:val="27"/>
        </w:rPr>
        <w:t xml:space="preserve"> </w:t>
      </w:r>
      <w:r w:rsidRPr="00290CE4">
        <w:rPr>
          <w:rFonts w:ascii="Times New Roman" w:hAnsi="Times New Roman" w:cs="Times New Roman"/>
          <w:sz w:val="27"/>
          <w:szCs w:val="27"/>
        </w:rPr>
        <w:t>148) готівкові розрахунки / розрахунки готівкою – платежі готівкою суб’єктів господарювання і фізичних осіб за реалізовану продукцію (товари, виконані роботи, надані послуги), а також за операціями, які безпосередньо не пов’язані з реалізацією продукції (товарів, робіт, послуг) та іншого майна.</w:t>
      </w:r>
    </w:p>
    <w:p w14:paraId="3A24917B" w14:textId="3B39B478" w:rsidR="00DE1D1F" w:rsidRPr="00290CE4" w:rsidRDefault="00DE1D1F" w:rsidP="00DE1D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 xml:space="preserve">Враховуючи викладене, як відповідь на питання 1 повідомляємо, що </w:t>
      </w:r>
      <w:r w:rsidRPr="00290CE4">
        <w:rPr>
          <w:rFonts w:ascii="Times New Roman" w:hAnsi="Times New Roman" w:cs="Times New Roman"/>
          <w:color w:val="000000"/>
          <w:sz w:val="27"/>
          <w:szCs w:val="27"/>
        </w:rPr>
        <w:t xml:space="preserve">розрахунки </w:t>
      </w:r>
      <w:r w:rsidRPr="00290CE4">
        <w:rPr>
          <w:rFonts w:ascii="Times New Roman" w:hAnsi="Times New Roman" w:cs="Times New Roman"/>
          <w:sz w:val="27"/>
          <w:szCs w:val="27"/>
        </w:rPr>
        <w:t xml:space="preserve">з використанням </w:t>
      </w:r>
      <w:bookmarkStart w:id="2" w:name="_Hlk216680545"/>
      <w:r w:rsidRPr="00290CE4">
        <w:rPr>
          <w:rFonts w:ascii="Times New Roman" w:hAnsi="Times New Roman" w:cs="Times New Roman"/>
          <w:sz w:val="27"/>
          <w:szCs w:val="27"/>
          <w:lang w:val="en-US"/>
        </w:rPr>
        <w:t>POS</w:t>
      </w:r>
      <w:r w:rsidRPr="00290CE4">
        <w:rPr>
          <w:rFonts w:ascii="Times New Roman" w:hAnsi="Times New Roman" w:cs="Times New Roman"/>
          <w:sz w:val="27"/>
          <w:szCs w:val="27"/>
        </w:rPr>
        <w:t xml:space="preserve">-терміналу за допомогою платіжної картки </w:t>
      </w:r>
      <w:bookmarkEnd w:id="2"/>
      <w:r w:rsidR="004B40FD">
        <w:rPr>
          <w:rFonts w:ascii="Times New Roman" w:hAnsi="Times New Roman" w:cs="Times New Roman"/>
          <w:sz w:val="27"/>
          <w:szCs w:val="27"/>
        </w:rPr>
        <w:t>є</w:t>
      </w:r>
      <w:r w:rsidRPr="00290CE4">
        <w:rPr>
          <w:rFonts w:ascii="Times New Roman" w:hAnsi="Times New Roman" w:cs="Times New Roman"/>
          <w:sz w:val="27"/>
          <w:szCs w:val="27"/>
        </w:rPr>
        <w:t xml:space="preserve"> безготівковими. </w:t>
      </w:r>
    </w:p>
    <w:p w14:paraId="481B0F10" w14:textId="063E81B4" w:rsidR="00DE1D1F" w:rsidRPr="00290CE4" w:rsidRDefault="0088099D" w:rsidP="00DE1D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290CE4">
        <w:rPr>
          <w:rFonts w:ascii="Times New Roman" w:hAnsi="Times New Roman"/>
          <w:sz w:val="27"/>
          <w:szCs w:val="27"/>
        </w:rPr>
        <w:t>Щодо питання 2</w:t>
      </w:r>
    </w:p>
    <w:p w14:paraId="121977BB" w14:textId="3C892957" w:rsidR="00E8429A" w:rsidRPr="00290CE4" w:rsidRDefault="00E8429A" w:rsidP="00C66E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Відповідно до пункту 6 розділу ІI </w:t>
      </w:r>
      <w:r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Положення № 148</w:t>
      </w:r>
      <w:r w:rsidR="00BC273B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суб’єкти господарювання мають право здійснювати розрахунки готівкою протягом одного дня за одним або кількома платіжними документами з фізичними особами – у розмірі до 50000 (п’ятдесяти тисяч) гривень включно.  </w:t>
      </w:r>
    </w:p>
    <w:p w14:paraId="46A70968" w14:textId="58346295" w:rsidR="00C66EA1" w:rsidRPr="00290CE4" w:rsidRDefault="00C3234D" w:rsidP="00C66E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Таким чином, в</w:t>
      </w:r>
      <w:r w:rsidR="00282EAA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изначені </w:t>
      </w:r>
      <w:r w:rsidR="00D85D1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у </w:t>
      </w:r>
      <w:r w:rsidR="00282EAA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>пункт</w:t>
      </w:r>
      <w:r w:rsidR="00D85D1B">
        <w:rPr>
          <w:rFonts w:ascii="Times New Roman" w:eastAsia="Times New Roman" w:hAnsi="Times New Roman" w:cs="Times New Roman"/>
          <w:sz w:val="27"/>
          <w:szCs w:val="27"/>
          <w:lang w:eastAsia="uk-UA"/>
        </w:rPr>
        <w:t>і</w:t>
      </w:r>
      <w:r w:rsidR="00282EAA" w:rsidRPr="00290CE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6 розділу ІI Положення № 148 обмеження с</w:t>
      </w:r>
      <w:r w:rsidR="00282EAA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тосуються </w:t>
      </w:r>
      <w:r w:rsidR="00E8429A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лише готівкових розрахунків,</w:t>
      </w:r>
      <w:r w:rsidR="00282EAA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а у</w:t>
      </w:r>
      <w:r w:rsidR="00D25AA5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наведеній </w:t>
      </w:r>
      <w:r w:rsidR="00E8429A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Підприєм</w:t>
      </w:r>
      <w:r w:rsidR="00E103A5">
        <w:rPr>
          <w:rFonts w:ascii="Times New Roman" w:hAnsi="Times New Roman" w:cs="Times New Roman"/>
          <w:sz w:val="27"/>
          <w:szCs w:val="27"/>
          <w:shd w:val="clear" w:color="auto" w:fill="FFFFFF"/>
        </w:rPr>
        <w:t>це</w:t>
      </w:r>
      <w:r w:rsidR="00E8429A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м </w:t>
      </w:r>
      <w:r w:rsidR="00D25AA5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ситуації, спосіб розрахунк</w:t>
      </w:r>
      <w:r w:rsidR="007649C9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ів</w:t>
      </w:r>
      <w:r w:rsidR="00D25AA5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за товар</w:t>
      </w:r>
      <w:r w:rsidR="00A21291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и</w:t>
      </w:r>
      <w:r w:rsidR="00E8429A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D25AA5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є безготівковим</w:t>
      </w:r>
      <w:r w:rsidR="00787205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</w:t>
      </w:r>
      <w:r w:rsidR="000C6A76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тому</w:t>
      </w:r>
      <w:r w:rsidR="00A21291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81160E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обмеження щодо граничної суми розрахунків, які проводяться із застосуванням електронних платіжних засобів (платіжних карток) не поширю</w:t>
      </w:r>
      <w:r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є</w:t>
      </w:r>
      <w:r w:rsidR="0081160E" w:rsidRPr="00290CE4">
        <w:rPr>
          <w:rFonts w:ascii="Times New Roman" w:hAnsi="Times New Roman" w:cs="Times New Roman"/>
          <w:sz w:val="27"/>
          <w:szCs w:val="27"/>
          <w:shd w:val="clear" w:color="auto" w:fill="FFFFFF"/>
        </w:rPr>
        <w:t>ться.</w:t>
      </w:r>
    </w:p>
    <w:bookmarkEnd w:id="0"/>
    <w:p w14:paraId="0198BE84" w14:textId="77777777" w:rsidR="00755B61" w:rsidRDefault="00755B61" w:rsidP="000465EC">
      <w:pPr>
        <w:tabs>
          <w:tab w:val="left" w:pos="567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28B5CAA3" w14:textId="55A6F884" w:rsidR="00FD0FB4" w:rsidRPr="00290CE4" w:rsidRDefault="00FD0FB4" w:rsidP="000465EC">
      <w:pPr>
        <w:tabs>
          <w:tab w:val="left" w:pos="567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 xml:space="preserve">Щодо питання 3 </w:t>
      </w:r>
    </w:p>
    <w:p w14:paraId="157B9C70" w14:textId="73FABA74" w:rsidR="00C3234D" w:rsidRPr="00290CE4" w:rsidRDefault="00C3234D" w:rsidP="004C4E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 xml:space="preserve">Відповідно до вимог статті 3 Закону № 265 </w:t>
      </w:r>
      <w:r w:rsidR="006338EC" w:rsidRPr="00290CE4">
        <w:rPr>
          <w:rFonts w:ascii="Times New Roman" w:hAnsi="Times New Roman" w:cs="Times New Roman"/>
          <w:sz w:val="27"/>
          <w:szCs w:val="27"/>
        </w:rPr>
        <w:t>суб’єкти господарювання</w:t>
      </w:r>
      <w:r w:rsidRPr="00290CE4">
        <w:rPr>
          <w:rFonts w:ascii="Times New Roman" w:hAnsi="Times New Roman" w:cs="Times New Roman"/>
          <w:sz w:val="27"/>
          <w:szCs w:val="27"/>
        </w:rPr>
        <w:t xml:space="preserve"> при здійсненні розрахунків у сфері торгівлі, громадського харчування та послуг зобов’язані, зокрема, проводити розрахунки на повну суму покупки (надання послуги) через зареєстровані, опломбовані у встановленому порядку та переведені у фіскальний режим роботи </w:t>
      </w:r>
      <w:r w:rsidR="004C4EB9" w:rsidRPr="00290CE4">
        <w:rPr>
          <w:rFonts w:ascii="Times New Roman" w:hAnsi="Times New Roman" w:cs="Times New Roman"/>
          <w:sz w:val="27"/>
          <w:szCs w:val="27"/>
        </w:rPr>
        <w:t>РРО</w:t>
      </w:r>
      <w:r w:rsidRPr="00290CE4">
        <w:rPr>
          <w:rFonts w:ascii="Times New Roman" w:hAnsi="Times New Roman" w:cs="Times New Roman"/>
          <w:sz w:val="27"/>
          <w:szCs w:val="27"/>
        </w:rPr>
        <w:t xml:space="preserve"> або</w:t>
      </w:r>
      <w:r w:rsidR="004C4EB9" w:rsidRPr="00290CE4">
        <w:rPr>
          <w:rFonts w:ascii="Times New Roman" w:hAnsi="Times New Roman" w:cs="Times New Roman"/>
          <w:sz w:val="27"/>
          <w:szCs w:val="27"/>
        </w:rPr>
        <w:t xml:space="preserve"> ПРРО</w:t>
      </w:r>
      <w:r w:rsidRPr="00290CE4">
        <w:rPr>
          <w:rFonts w:ascii="Times New Roman" w:hAnsi="Times New Roman" w:cs="Times New Roman"/>
          <w:sz w:val="27"/>
          <w:szCs w:val="27"/>
        </w:rPr>
        <w:t xml:space="preserve"> та надавати особі, яка отримує або повертає товар, отримує послугу або відмовляється від неї, включаючи ті, замовлення або оплата яких здійснюється з використанням мережі Інтернет, при отриманні товарів (послуг) в обов’язковому порядку розрахунковий документ встановленої форми та змісту на повну суму проведеної операції.</w:t>
      </w:r>
    </w:p>
    <w:p w14:paraId="49845473" w14:textId="6E8E506B" w:rsidR="006338EC" w:rsidRPr="00290CE4" w:rsidRDefault="006338EC" w:rsidP="004C4EB9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290CE4">
        <w:rPr>
          <w:sz w:val="27"/>
          <w:szCs w:val="27"/>
          <w:lang w:val="uk-UA"/>
        </w:rPr>
        <w:t xml:space="preserve">Згідно з </w:t>
      </w:r>
      <w:r w:rsidRPr="00290CE4">
        <w:rPr>
          <w:sz w:val="27"/>
          <w:szCs w:val="27"/>
        </w:rPr>
        <w:t>абзац</w:t>
      </w:r>
      <w:proofErr w:type="spellStart"/>
      <w:r w:rsidRPr="00290CE4">
        <w:rPr>
          <w:sz w:val="27"/>
          <w:szCs w:val="27"/>
          <w:lang w:val="uk-UA"/>
        </w:rPr>
        <w:t>ом</w:t>
      </w:r>
      <w:proofErr w:type="spellEnd"/>
      <w:r w:rsidRPr="00290CE4">
        <w:rPr>
          <w:sz w:val="27"/>
          <w:szCs w:val="27"/>
        </w:rPr>
        <w:t xml:space="preserve"> п</w:t>
      </w:r>
      <w:r w:rsidRPr="00290CE4">
        <w:rPr>
          <w:sz w:val="27"/>
          <w:szCs w:val="27"/>
          <w:lang w:val="uk-UA"/>
        </w:rPr>
        <w:t>’</w:t>
      </w:r>
      <w:r w:rsidRPr="00290CE4">
        <w:rPr>
          <w:sz w:val="27"/>
          <w:szCs w:val="27"/>
        </w:rPr>
        <w:t>яти</w:t>
      </w:r>
      <w:r w:rsidRPr="00290CE4">
        <w:rPr>
          <w:sz w:val="27"/>
          <w:szCs w:val="27"/>
          <w:lang w:val="uk-UA"/>
        </w:rPr>
        <w:t>м</w:t>
      </w:r>
      <w:r w:rsidRPr="00290CE4">
        <w:rPr>
          <w:sz w:val="27"/>
          <w:szCs w:val="27"/>
        </w:rPr>
        <w:t xml:space="preserve"> пункту 6 </w:t>
      </w:r>
      <w:r w:rsidRPr="00290CE4">
        <w:rPr>
          <w:sz w:val="27"/>
          <w:szCs w:val="27"/>
          <w:lang w:val="uk-UA"/>
        </w:rPr>
        <w:t>Постанови № 148 п</w:t>
      </w:r>
      <w:proofErr w:type="spellStart"/>
      <w:r w:rsidRPr="00290CE4">
        <w:rPr>
          <w:sz w:val="27"/>
          <w:szCs w:val="27"/>
        </w:rPr>
        <w:t>латежі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понад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установлені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граничні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суми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проводяться</w:t>
      </w:r>
      <w:proofErr w:type="spellEnd"/>
      <w:r w:rsidRPr="00290CE4">
        <w:rPr>
          <w:sz w:val="27"/>
          <w:szCs w:val="27"/>
        </w:rPr>
        <w:t xml:space="preserve"> через </w:t>
      </w:r>
      <w:proofErr w:type="spellStart"/>
      <w:r w:rsidRPr="00290CE4">
        <w:rPr>
          <w:sz w:val="27"/>
          <w:szCs w:val="27"/>
        </w:rPr>
        <w:t>надавачів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платіжних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послуг</w:t>
      </w:r>
      <w:proofErr w:type="spellEnd"/>
      <w:r w:rsidRPr="00290CE4">
        <w:rPr>
          <w:sz w:val="27"/>
          <w:szCs w:val="27"/>
        </w:rPr>
        <w:t xml:space="preserve"> шляхом </w:t>
      </w:r>
      <w:proofErr w:type="spellStart"/>
      <w:r w:rsidRPr="00290CE4">
        <w:rPr>
          <w:sz w:val="27"/>
          <w:szCs w:val="27"/>
        </w:rPr>
        <w:t>переказу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коштів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із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рахунку</w:t>
      </w:r>
      <w:proofErr w:type="spellEnd"/>
      <w:r w:rsidRPr="00290CE4">
        <w:rPr>
          <w:sz w:val="27"/>
          <w:szCs w:val="27"/>
        </w:rPr>
        <w:t xml:space="preserve"> на </w:t>
      </w:r>
      <w:proofErr w:type="spellStart"/>
      <w:r w:rsidRPr="00290CE4">
        <w:rPr>
          <w:sz w:val="27"/>
          <w:szCs w:val="27"/>
        </w:rPr>
        <w:t>рахунок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або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внесення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коштів</w:t>
      </w:r>
      <w:proofErr w:type="spellEnd"/>
      <w:r w:rsidRPr="00290CE4">
        <w:rPr>
          <w:sz w:val="27"/>
          <w:szCs w:val="27"/>
        </w:rPr>
        <w:t xml:space="preserve"> до </w:t>
      </w:r>
      <w:proofErr w:type="spellStart"/>
      <w:r w:rsidRPr="00290CE4">
        <w:rPr>
          <w:sz w:val="27"/>
          <w:szCs w:val="27"/>
        </w:rPr>
        <w:t>кас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надавачів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платіжних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послуг</w:t>
      </w:r>
      <w:proofErr w:type="spellEnd"/>
      <w:r w:rsidRPr="00290CE4">
        <w:rPr>
          <w:sz w:val="27"/>
          <w:szCs w:val="27"/>
        </w:rPr>
        <w:t xml:space="preserve"> для </w:t>
      </w:r>
      <w:proofErr w:type="spellStart"/>
      <w:r w:rsidRPr="00290CE4">
        <w:rPr>
          <w:sz w:val="27"/>
          <w:szCs w:val="27"/>
        </w:rPr>
        <w:t>подальшого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їх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переказу</w:t>
      </w:r>
      <w:proofErr w:type="spellEnd"/>
      <w:r w:rsidRPr="00290CE4">
        <w:rPr>
          <w:sz w:val="27"/>
          <w:szCs w:val="27"/>
        </w:rPr>
        <w:t xml:space="preserve"> на </w:t>
      </w:r>
      <w:proofErr w:type="spellStart"/>
      <w:r w:rsidRPr="00290CE4">
        <w:rPr>
          <w:sz w:val="27"/>
          <w:szCs w:val="27"/>
        </w:rPr>
        <w:t>рахунки</w:t>
      </w:r>
      <w:proofErr w:type="spellEnd"/>
      <w:r w:rsidRPr="00290CE4">
        <w:rPr>
          <w:sz w:val="27"/>
          <w:szCs w:val="27"/>
        </w:rPr>
        <w:t>.</w:t>
      </w:r>
    </w:p>
    <w:p w14:paraId="64B00F08" w14:textId="34B68CD7" w:rsidR="006338EC" w:rsidRPr="00290CE4" w:rsidRDefault="006338EC" w:rsidP="004C4EB9">
      <w:pPr>
        <w:pStyle w:val="a3"/>
        <w:spacing w:before="0" w:beforeAutospacing="0" w:after="0" w:afterAutospacing="0"/>
        <w:ind w:firstLine="567"/>
        <w:jc w:val="both"/>
        <w:rPr>
          <w:sz w:val="27"/>
          <w:szCs w:val="27"/>
          <w:lang w:val="uk-UA"/>
        </w:rPr>
      </w:pPr>
      <w:r w:rsidRPr="00290CE4">
        <w:rPr>
          <w:sz w:val="27"/>
          <w:szCs w:val="27"/>
          <w:lang w:val="uk-UA"/>
        </w:rPr>
        <w:lastRenderedPageBreak/>
        <w:t xml:space="preserve">Як вже зазначалось, </w:t>
      </w:r>
      <w:proofErr w:type="spellStart"/>
      <w:r w:rsidRPr="00290CE4">
        <w:rPr>
          <w:sz w:val="27"/>
          <w:szCs w:val="27"/>
        </w:rPr>
        <w:t>безготівкові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розрахунки</w:t>
      </w:r>
      <w:proofErr w:type="spellEnd"/>
      <w:r w:rsidRPr="00290CE4">
        <w:rPr>
          <w:sz w:val="27"/>
          <w:szCs w:val="27"/>
        </w:rPr>
        <w:t xml:space="preserve"> – </w:t>
      </w:r>
      <w:proofErr w:type="spellStart"/>
      <w:r w:rsidRPr="00290CE4">
        <w:rPr>
          <w:sz w:val="27"/>
          <w:szCs w:val="27"/>
        </w:rPr>
        <w:t>перерахування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коштів</w:t>
      </w:r>
      <w:proofErr w:type="spellEnd"/>
      <w:r w:rsidRPr="00290CE4">
        <w:rPr>
          <w:sz w:val="27"/>
          <w:szCs w:val="27"/>
        </w:rPr>
        <w:t xml:space="preserve"> з </w:t>
      </w:r>
      <w:proofErr w:type="spellStart"/>
      <w:r w:rsidRPr="00290CE4">
        <w:rPr>
          <w:sz w:val="27"/>
          <w:szCs w:val="27"/>
        </w:rPr>
        <w:t>рахунків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платників</w:t>
      </w:r>
      <w:proofErr w:type="spellEnd"/>
      <w:r w:rsidRPr="00290CE4">
        <w:rPr>
          <w:sz w:val="27"/>
          <w:szCs w:val="27"/>
        </w:rPr>
        <w:t xml:space="preserve"> на </w:t>
      </w:r>
      <w:proofErr w:type="spellStart"/>
      <w:r w:rsidRPr="00290CE4">
        <w:rPr>
          <w:sz w:val="27"/>
          <w:szCs w:val="27"/>
        </w:rPr>
        <w:t>рахунки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отримувачів</w:t>
      </w:r>
      <w:proofErr w:type="spellEnd"/>
      <w:r w:rsidRPr="00290CE4">
        <w:rPr>
          <w:sz w:val="27"/>
          <w:szCs w:val="27"/>
        </w:rPr>
        <w:t xml:space="preserve">, а </w:t>
      </w:r>
      <w:proofErr w:type="spellStart"/>
      <w:r w:rsidRPr="00290CE4">
        <w:rPr>
          <w:sz w:val="27"/>
          <w:szCs w:val="27"/>
        </w:rPr>
        <w:t>також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перерахування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надавачами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платіжних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послуг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коштів</w:t>
      </w:r>
      <w:proofErr w:type="spellEnd"/>
      <w:r w:rsidRPr="00290CE4">
        <w:rPr>
          <w:sz w:val="27"/>
          <w:szCs w:val="27"/>
        </w:rPr>
        <w:t xml:space="preserve">, </w:t>
      </w:r>
      <w:proofErr w:type="spellStart"/>
      <w:r w:rsidRPr="00290CE4">
        <w:rPr>
          <w:sz w:val="27"/>
          <w:szCs w:val="27"/>
        </w:rPr>
        <w:t>внесених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платниками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готівкою</w:t>
      </w:r>
      <w:proofErr w:type="spellEnd"/>
      <w:r w:rsidRPr="00290CE4">
        <w:rPr>
          <w:sz w:val="27"/>
          <w:szCs w:val="27"/>
        </w:rPr>
        <w:t xml:space="preserve">, на </w:t>
      </w:r>
      <w:proofErr w:type="spellStart"/>
      <w:r w:rsidRPr="00290CE4">
        <w:rPr>
          <w:sz w:val="27"/>
          <w:szCs w:val="27"/>
        </w:rPr>
        <w:t>рахунки</w:t>
      </w:r>
      <w:proofErr w:type="spellEnd"/>
      <w:r w:rsidRPr="00290CE4">
        <w:rPr>
          <w:sz w:val="27"/>
          <w:szCs w:val="27"/>
        </w:rPr>
        <w:t xml:space="preserve"> </w:t>
      </w:r>
      <w:proofErr w:type="spellStart"/>
      <w:r w:rsidRPr="00290CE4">
        <w:rPr>
          <w:sz w:val="27"/>
          <w:szCs w:val="27"/>
        </w:rPr>
        <w:t>отримувачів</w:t>
      </w:r>
      <w:proofErr w:type="spellEnd"/>
      <w:r w:rsidRPr="00290CE4">
        <w:rPr>
          <w:sz w:val="27"/>
          <w:szCs w:val="27"/>
          <w:lang w:val="uk-UA"/>
        </w:rPr>
        <w:t>.</w:t>
      </w:r>
    </w:p>
    <w:p w14:paraId="11F63CF0" w14:textId="6CB6D9CC" w:rsidR="006338EC" w:rsidRPr="00290CE4" w:rsidRDefault="004C4EB9" w:rsidP="00046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90CE4">
        <w:rPr>
          <w:rFonts w:ascii="Times New Roman" w:hAnsi="Times New Roman" w:cs="Times New Roman"/>
          <w:sz w:val="27"/>
          <w:szCs w:val="27"/>
        </w:rPr>
        <w:t xml:space="preserve">Враховуючи зазначене, як відповідь на питання 3 повідомляємо, якщо вартість реалізованих товарів або одиниці товару фізичній особі перевищує 50000 гривень, то такий розрахунок можливо здійснити із використанням РРО / ПРРО, при цьому сформувавши один розрахунковий документ з комбінованою оплатою, зокрема, готівкою та безготівковою </w:t>
      </w:r>
      <w:r w:rsidR="00494371" w:rsidRPr="00290CE4">
        <w:rPr>
          <w:rFonts w:ascii="Times New Roman" w:hAnsi="Times New Roman" w:cs="Times New Roman"/>
          <w:sz w:val="27"/>
          <w:szCs w:val="27"/>
        </w:rPr>
        <w:t>формою (</w:t>
      </w:r>
      <w:r w:rsidRPr="00290CE4">
        <w:rPr>
          <w:rFonts w:ascii="Times New Roman" w:hAnsi="Times New Roman" w:cs="Times New Roman"/>
          <w:sz w:val="27"/>
          <w:szCs w:val="27"/>
        </w:rPr>
        <w:t>із застосуванням електронного платіжного засобу</w:t>
      </w:r>
      <w:r w:rsidR="00494371" w:rsidRPr="00290CE4">
        <w:rPr>
          <w:rFonts w:ascii="Times New Roman" w:hAnsi="Times New Roman" w:cs="Times New Roman"/>
          <w:sz w:val="27"/>
          <w:szCs w:val="27"/>
        </w:rPr>
        <w:t>)</w:t>
      </w:r>
      <w:r w:rsidRPr="00290CE4">
        <w:rPr>
          <w:rFonts w:ascii="Times New Roman" w:hAnsi="Times New Roman" w:cs="Times New Roman"/>
          <w:sz w:val="27"/>
          <w:szCs w:val="27"/>
        </w:rPr>
        <w:t xml:space="preserve"> одночасно, за умови, що сума готівкових коштів не перевищуватиме розміру 50000 гривень </w:t>
      </w:r>
      <w:proofErr w:type="spellStart"/>
      <w:r w:rsidRPr="00290CE4">
        <w:rPr>
          <w:rFonts w:ascii="Times New Roman" w:hAnsi="Times New Roman" w:cs="Times New Roman"/>
          <w:sz w:val="27"/>
          <w:szCs w:val="27"/>
        </w:rPr>
        <w:t>уключно</w:t>
      </w:r>
      <w:proofErr w:type="spellEnd"/>
      <w:r w:rsidRPr="00290CE4">
        <w:rPr>
          <w:rFonts w:ascii="Times New Roman" w:hAnsi="Times New Roman" w:cs="Times New Roman"/>
          <w:sz w:val="27"/>
          <w:szCs w:val="27"/>
        </w:rPr>
        <w:t>.</w:t>
      </w:r>
    </w:p>
    <w:p w14:paraId="6536A296" w14:textId="72D4F7FF" w:rsidR="00540A94" w:rsidRPr="00290CE4" w:rsidRDefault="00540A94" w:rsidP="000465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90CE4">
        <w:rPr>
          <w:rFonts w:ascii="Times New Roman" w:eastAsia="Times New Roman" w:hAnsi="Times New Roman" w:cs="Times New Roman"/>
          <w:sz w:val="27"/>
          <w:szCs w:val="27"/>
        </w:rPr>
        <w:t xml:space="preserve">У відповідності до пункту 52.2 статті 52 </w:t>
      </w:r>
      <w:r w:rsidR="00997B61" w:rsidRPr="00290CE4">
        <w:rPr>
          <w:rFonts w:ascii="Times New Roman" w:eastAsia="Times New Roman" w:hAnsi="Times New Roman" w:cs="Times New Roman"/>
          <w:sz w:val="27"/>
          <w:szCs w:val="27"/>
        </w:rPr>
        <w:t>Кодексу</w:t>
      </w:r>
      <w:r w:rsidRPr="00290CE4">
        <w:rPr>
          <w:rFonts w:ascii="Times New Roman" w:eastAsia="Times New Roman" w:hAnsi="Times New Roman" w:cs="Times New Roman"/>
          <w:sz w:val="27"/>
          <w:szCs w:val="27"/>
        </w:rPr>
        <w:t xml:space="preserve"> податкова консультація має індивідуальний характер, діє в межах законодавства, яке було чинним на момент надання такої консультації і може використовуватися виключно платником податків, якому надано таку консультацію.</w:t>
      </w:r>
    </w:p>
    <w:p w14:paraId="6F3ADE81" w14:textId="4076F838" w:rsidR="006338EC" w:rsidRPr="00290CE4" w:rsidRDefault="006338EC" w:rsidP="000465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0B25B60" w14:textId="0BDD58BE" w:rsidR="00755B61" w:rsidRDefault="00755B6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22852" w14:textId="78F1AD93" w:rsidR="003E1AA1" w:rsidRDefault="003E1AA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9CCDCC" w14:textId="1C8FEC72" w:rsidR="003E1AA1" w:rsidRDefault="003E1AA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E8304" w14:textId="22A513BC" w:rsidR="003E1AA1" w:rsidRDefault="003E1AA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F2E0A0" w14:textId="4DA01EFC" w:rsidR="003E1AA1" w:rsidRDefault="003E1AA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1809E" w14:textId="77777777" w:rsidR="003E1AA1" w:rsidRDefault="003E1AA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176E4" w14:textId="0C6ACA52" w:rsidR="00755B61" w:rsidRDefault="00755B6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E055D2" w14:textId="744955AB" w:rsidR="00755B61" w:rsidRDefault="00755B61" w:rsidP="006338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9B8B8" w14:textId="77777777" w:rsidR="006338EC" w:rsidRPr="006338EC" w:rsidRDefault="006338EC" w:rsidP="006338EC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6338E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14:paraId="768457EC" w14:textId="2EE22C23" w:rsidR="006338EC" w:rsidRPr="006338EC" w:rsidRDefault="006338EC" w:rsidP="00290C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8EC">
        <w:rPr>
          <w:rFonts w:ascii="Times New Roman" w:hAnsi="Times New Roman" w:cs="Times New Roman"/>
          <w:sz w:val="16"/>
          <w:szCs w:val="16"/>
        </w:rPr>
        <w:t xml:space="preserve">Ця індивідуальна податкова консультація </w:t>
      </w:r>
      <w:r w:rsidRPr="006338EC">
        <w:rPr>
          <w:rFonts w:ascii="Times New Roman" w:hAnsi="Times New Roman" w:cs="Times New Roman"/>
          <w:color w:val="000000"/>
          <w:sz w:val="16"/>
          <w:szCs w:val="16"/>
        </w:rPr>
        <w:t xml:space="preserve">діє до зміни / втрати чинності норм законодавства, щодо яких надано індивідуальну </w:t>
      </w:r>
      <w:r w:rsidRPr="006338EC">
        <w:rPr>
          <w:rFonts w:ascii="Times New Roman" w:hAnsi="Times New Roman" w:cs="Times New Roman"/>
          <w:sz w:val="16"/>
          <w:szCs w:val="16"/>
        </w:rPr>
        <w:t>податкову консультацію.</w:t>
      </w:r>
    </w:p>
    <w:sectPr w:rsidR="006338EC" w:rsidRPr="006338EC" w:rsidSect="00290CE4">
      <w:headerReference w:type="default" r:id="rId8"/>
      <w:pgSz w:w="11906" w:h="16838"/>
      <w:pgMar w:top="1134" w:right="567" w:bottom="181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CF8EC" w14:textId="77777777" w:rsidR="00511978" w:rsidRDefault="00511978" w:rsidP="00C03EB2">
      <w:pPr>
        <w:spacing w:after="0" w:line="240" w:lineRule="auto"/>
      </w:pPr>
      <w:r>
        <w:separator/>
      </w:r>
    </w:p>
  </w:endnote>
  <w:endnote w:type="continuationSeparator" w:id="0">
    <w:p w14:paraId="5865C611" w14:textId="77777777" w:rsidR="00511978" w:rsidRDefault="00511978" w:rsidP="00C0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7835F" w14:textId="77777777" w:rsidR="00511978" w:rsidRDefault="00511978" w:rsidP="00C03EB2">
      <w:pPr>
        <w:spacing w:after="0" w:line="240" w:lineRule="auto"/>
      </w:pPr>
      <w:r>
        <w:separator/>
      </w:r>
    </w:p>
  </w:footnote>
  <w:footnote w:type="continuationSeparator" w:id="0">
    <w:p w14:paraId="502AB66D" w14:textId="77777777" w:rsidR="00511978" w:rsidRDefault="00511978" w:rsidP="00C03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65173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6FDBDEF1" w14:textId="7E69F2A6" w:rsidR="00C03EB2" w:rsidRPr="00C03EB2" w:rsidRDefault="00C03EB2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C03EB2">
          <w:rPr>
            <w:rFonts w:ascii="Times New Roman" w:hAnsi="Times New Roman" w:cs="Times New Roman"/>
            <w:sz w:val="28"/>
          </w:rPr>
          <w:fldChar w:fldCharType="begin"/>
        </w:r>
        <w:r w:rsidRPr="00C03EB2">
          <w:rPr>
            <w:rFonts w:ascii="Times New Roman" w:hAnsi="Times New Roman" w:cs="Times New Roman"/>
            <w:sz w:val="28"/>
          </w:rPr>
          <w:instrText>PAGE   \* MERGEFORMAT</w:instrText>
        </w:r>
        <w:r w:rsidRPr="00C03EB2">
          <w:rPr>
            <w:rFonts w:ascii="Times New Roman" w:hAnsi="Times New Roman" w:cs="Times New Roman"/>
            <w:sz w:val="28"/>
          </w:rPr>
          <w:fldChar w:fldCharType="separate"/>
        </w:r>
        <w:r w:rsidR="00E234F3">
          <w:rPr>
            <w:rFonts w:ascii="Times New Roman" w:hAnsi="Times New Roman" w:cs="Times New Roman"/>
            <w:noProof/>
            <w:sz w:val="28"/>
          </w:rPr>
          <w:t>3</w:t>
        </w:r>
        <w:r w:rsidRPr="00C03EB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6104B2BE" w14:textId="77777777" w:rsidR="00C03EB2" w:rsidRDefault="00C03EB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33661"/>
    <w:multiLevelType w:val="hybridMultilevel"/>
    <w:tmpl w:val="07303688"/>
    <w:lvl w:ilvl="0" w:tplc="F4948C40">
      <w:start w:val="10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A1C0F"/>
    <w:multiLevelType w:val="hybridMultilevel"/>
    <w:tmpl w:val="E6B8A596"/>
    <w:lvl w:ilvl="0" w:tplc="41B2C786">
      <w:numFmt w:val="bullet"/>
      <w:lvlText w:val="-"/>
      <w:lvlJc w:val="left"/>
      <w:pPr>
        <w:ind w:left="927" w:hanging="360"/>
      </w:pPr>
      <w:rPr>
        <w:rFonts w:ascii="Calibri" w:eastAsia="Times New Roman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1192DEE"/>
    <w:multiLevelType w:val="multilevel"/>
    <w:tmpl w:val="FC307F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Roboto" w:eastAsia="Times New Roman" w:hAnsi="Roboto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39"/>
    <w:rsid w:val="000019ED"/>
    <w:rsid w:val="00010C82"/>
    <w:rsid w:val="00014D8F"/>
    <w:rsid w:val="000334A8"/>
    <w:rsid w:val="00043855"/>
    <w:rsid w:val="00045781"/>
    <w:rsid w:val="000465EC"/>
    <w:rsid w:val="00051791"/>
    <w:rsid w:val="00053EE7"/>
    <w:rsid w:val="00064C98"/>
    <w:rsid w:val="00082544"/>
    <w:rsid w:val="00086853"/>
    <w:rsid w:val="0009345E"/>
    <w:rsid w:val="00095789"/>
    <w:rsid w:val="000A16AB"/>
    <w:rsid w:val="000A5FCC"/>
    <w:rsid w:val="000B6BF9"/>
    <w:rsid w:val="000C6A76"/>
    <w:rsid w:val="000D5D3D"/>
    <w:rsid w:val="000E1C44"/>
    <w:rsid w:val="000E379E"/>
    <w:rsid w:val="000E69FB"/>
    <w:rsid w:val="000E708E"/>
    <w:rsid w:val="000F6605"/>
    <w:rsid w:val="00102D9D"/>
    <w:rsid w:val="001060C6"/>
    <w:rsid w:val="00127676"/>
    <w:rsid w:val="00150C1C"/>
    <w:rsid w:val="0019688B"/>
    <w:rsid w:val="001A3B26"/>
    <w:rsid w:val="001B0A50"/>
    <w:rsid w:val="001C56AA"/>
    <w:rsid w:val="001C6402"/>
    <w:rsid w:val="001E2292"/>
    <w:rsid w:val="002309F5"/>
    <w:rsid w:val="0023364B"/>
    <w:rsid w:val="00252D50"/>
    <w:rsid w:val="0026336F"/>
    <w:rsid w:val="00282EAA"/>
    <w:rsid w:val="00290CE4"/>
    <w:rsid w:val="00294F44"/>
    <w:rsid w:val="00295E7E"/>
    <w:rsid w:val="002C2146"/>
    <w:rsid w:val="002D2B60"/>
    <w:rsid w:val="002D5E6E"/>
    <w:rsid w:val="002E7CFD"/>
    <w:rsid w:val="003036CC"/>
    <w:rsid w:val="003442B9"/>
    <w:rsid w:val="00350BBB"/>
    <w:rsid w:val="00357EB2"/>
    <w:rsid w:val="00382754"/>
    <w:rsid w:val="00396168"/>
    <w:rsid w:val="003A3356"/>
    <w:rsid w:val="003C465D"/>
    <w:rsid w:val="003D0776"/>
    <w:rsid w:val="003D442C"/>
    <w:rsid w:val="003E1AA1"/>
    <w:rsid w:val="003E1F5D"/>
    <w:rsid w:val="003E3DD1"/>
    <w:rsid w:val="003E524F"/>
    <w:rsid w:val="003F1180"/>
    <w:rsid w:val="0040349C"/>
    <w:rsid w:val="004108C1"/>
    <w:rsid w:val="004420EC"/>
    <w:rsid w:val="00442AE9"/>
    <w:rsid w:val="0048085B"/>
    <w:rsid w:val="00493362"/>
    <w:rsid w:val="004939DB"/>
    <w:rsid w:val="00494371"/>
    <w:rsid w:val="004B40FD"/>
    <w:rsid w:val="004B44B8"/>
    <w:rsid w:val="004C4EB9"/>
    <w:rsid w:val="004C63AB"/>
    <w:rsid w:val="005012AF"/>
    <w:rsid w:val="00511978"/>
    <w:rsid w:val="005128EB"/>
    <w:rsid w:val="00513473"/>
    <w:rsid w:val="00514B5C"/>
    <w:rsid w:val="0052468B"/>
    <w:rsid w:val="005305E6"/>
    <w:rsid w:val="00531CBD"/>
    <w:rsid w:val="00540A94"/>
    <w:rsid w:val="00542409"/>
    <w:rsid w:val="0055060D"/>
    <w:rsid w:val="00554D05"/>
    <w:rsid w:val="005577AD"/>
    <w:rsid w:val="0057516C"/>
    <w:rsid w:val="00596311"/>
    <w:rsid w:val="005A2748"/>
    <w:rsid w:val="005A652B"/>
    <w:rsid w:val="005D5530"/>
    <w:rsid w:val="005F438E"/>
    <w:rsid w:val="00602801"/>
    <w:rsid w:val="00622B7C"/>
    <w:rsid w:val="0063367B"/>
    <w:rsid w:val="006338EC"/>
    <w:rsid w:val="00656349"/>
    <w:rsid w:val="00657484"/>
    <w:rsid w:val="00673F4B"/>
    <w:rsid w:val="006761AD"/>
    <w:rsid w:val="00680550"/>
    <w:rsid w:val="00685C85"/>
    <w:rsid w:val="00695AF5"/>
    <w:rsid w:val="006A7175"/>
    <w:rsid w:val="006B4FB0"/>
    <w:rsid w:val="006D144C"/>
    <w:rsid w:val="006D175D"/>
    <w:rsid w:val="006D5130"/>
    <w:rsid w:val="006D5C74"/>
    <w:rsid w:val="006F3217"/>
    <w:rsid w:val="00725EFA"/>
    <w:rsid w:val="0073556C"/>
    <w:rsid w:val="00750F46"/>
    <w:rsid w:val="00755B61"/>
    <w:rsid w:val="007649C9"/>
    <w:rsid w:val="00787205"/>
    <w:rsid w:val="007E2025"/>
    <w:rsid w:val="0081160E"/>
    <w:rsid w:val="0082244B"/>
    <w:rsid w:val="008338F2"/>
    <w:rsid w:val="00861155"/>
    <w:rsid w:val="00864AD6"/>
    <w:rsid w:val="0088074F"/>
    <w:rsid w:val="0088099D"/>
    <w:rsid w:val="00896F8F"/>
    <w:rsid w:val="008F52F8"/>
    <w:rsid w:val="008F732D"/>
    <w:rsid w:val="009114E5"/>
    <w:rsid w:val="009228B2"/>
    <w:rsid w:val="00934D39"/>
    <w:rsid w:val="009657E6"/>
    <w:rsid w:val="0097035F"/>
    <w:rsid w:val="0098069A"/>
    <w:rsid w:val="00990671"/>
    <w:rsid w:val="00993D84"/>
    <w:rsid w:val="0099495A"/>
    <w:rsid w:val="009977A2"/>
    <w:rsid w:val="00997B61"/>
    <w:rsid w:val="009B61ED"/>
    <w:rsid w:val="009B7CF6"/>
    <w:rsid w:val="009C578A"/>
    <w:rsid w:val="009D04C8"/>
    <w:rsid w:val="009E4B3F"/>
    <w:rsid w:val="00A21291"/>
    <w:rsid w:val="00A37EEF"/>
    <w:rsid w:val="00A40571"/>
    <w:rsid w:val="00A45CE2"/>
    <w:rsid w:val="00A8107B"/>
    <w:rsid w:val="00AA2270"/>
    <w:rsid w:val="00AB66EB"/>
    <w:rsid w:val="00AE77F8"/>
    <w:rsid w:val="00AF6747"/>
    <w:rsid w:val="00B062F8"/>
    <w:rsid w:val="00B30298"/>
    <w:rsid w:val="00B52BCD"/>
    <w:rsid w:val="00B539BA"/>
    <w:rsid w:val="00B678EF"/>
    <w:rsid w:val="00B878A1"/>
    <w:rsid w:val="00BB2AD1"/>
    <w:rsid w:val="00BC273B"/>
    <w:rsid w:val="00C03EB2"/>
    <w:rsid w:val="00C06DD8"/>
    <w:rsid w:val="00C07837"/>
    <w:rsid w:val="00C144BC"/>
    <w:rsid w:val="00C22C8C"/>
    <w:rsid w:val="00C3234D"/>
    <w:rsid w:val="00C33DC4"/>
    <w:rsid w:val="00C36052"/>
    <w:rsid w:val="00C44BD3"/>
    <w:rsid w:val="00C66EA1"/>
    <w:rsid w:val="00C854B8"/>
    <w:rsid w:val="00C919AF"/>
    <w:rsid w:val="00C93ACD"/>
    <w:rsid w:val="00CA5E93"/>
    <w:rsid w:val="00CB034C"/>
    <w:rsid w:val="00CB3B41"/>
    <w:rsid w:val="00CC5D31"/>
    <w:rsid w:val="00CF4916"/>
    <w:rsid w:val="00D25AA5"/>
    <w:rsid w:val="00D267FB"/>
    <w:rsid w:val="00D33D0B"/>
    <w:rsid w:val="00D531EC"/>
    <w:rsid w:val="00D53AAB"/>
    <w:rsid w:val="00D65EFD"/>
    <w:rsid w:val="00D65F39"/>
    <w:rsid w:val="00D85D1B"/>
    <w:rsid w:val="00D907FA"/>
    <w:rsid w:val="00D93FCE"/>
    <w:rsid w:val="00DA5030"/>
    <w:rsid w:val="00DC17AE"/>
    <w:rsid w:val="00DE0F89"/>
    <w:rsid w:val="00DE1D1F"/>
    <w:rsid w:val="00DE20AA"/>
    <w:rsid w:val="00E049EA"/>
    <w:rsid w:val="00E103A5"/>
    <w:rsid w:val="00E234F3"/>
    <w:rsid w:val="00E406D0"/>
    <w:rsid w:val="00E54215"/>
    <w:rsid w:val="00E81608"/>
    <w:rsid w:val="00E8429A"/>
    <w:rsid w:val="00E941A2"/>
    <w:rsid w:val="00EB3196"/>
    <w:rsid w:val="00EC0A8D"/>
    <w:rsid w:val="00ED791E"/>
    <w:rsid w:val="00F42256"/>
    <w:rsid w:val="00F4617D"/>
    <w:rsid w:val="00F704E1"/>
    <w:rsid w:val="00F74615"/>
    <w:rsid w:val="00FA3E0C"/>
    <w:rsid w:val="00FB2969"/>
    <w:rsid w:val="00FC26D3"/>
    <w:rsid w:val="00FC6780"/>
    <w:rsid w:val="00FD05C1"/>
    <w:rsid w:val="00FD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CD80"/>
  <w15:docId w15:val="{A926D0B9-292D-425E-B3E9-26E94986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3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,Обычный (веб) Знак1,Знак13 Знак,Обычный (веб) Знак Знак Знак,Обычный (веб)1,Обычный (веб) Знак Знак Знак Знак Знак Знак Знак1 Знак Знак,Обычный (веб)3,Обычный (веб)11,Обычный (веб)211 Знак"/>
    <w:basedOn w:val="a"/>
    <w:link w:val="a4"/>
    <w:uiPriority w:val="99"/>
    <w:qFormat/>
    <w:rsid w:val="00B67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4">
    <w:name w:val="Звичайний (веб) Знак"/>
    <w:aliases w:val="Обычный (Web) Знак,Обычный (Web)1 Знак,Обычный (веб) Знак1 Знак,Знак13 Знак Знак,Обычный (веб) Знак Знак Знак Знак,Обычный (веб)1 Знак,Обычный (веб) Знак Знак Знак Знак Знак Знак Знак1 Знак Знак Знак,Обычный (веб)3 Знак"/>
    <w:basedOn w:val="a0"/>
    <w:link w:val="a3"/>
    <w:uiPriority w:val="99"/>
    <w:locked/>
    <w:rsid w:val="00B678EF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No Spacing"/>
    <w:uiPriority w:val="1"/>
    <w:qFormat/>
    <w:rsid w:val="00B678EF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C03E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C03EB2"/>
  </w:style>
  <w:style w:type="paragraph" w:styleId="a8">
    <w:name w:val="footer"/>
    <w:basedOn w:val="a"/>
    <w:link w:val="a9"/>
    <w:uiPriority w:val="99"/>
    <w:unhideWhenUsed/>
    <w:rsid w:val="00C03E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C03EB2"/>
  </w:style>
  <w:style w:type="character" w:styleId="aa">
    <w:name w:val="Hyperlink"/>
    <w:basedOn w:val="a0"/>
    <w:uiPriority w:val="99"/>
    <w:unhideWhenUsed/>
    <w:rsid w:val="00540A9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40A9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D53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D531EC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DE0F89"/>
    <w:pPr>
      <w:ind w:left="720"/>
      <w:contextualSpacing/>
    </w:pPr>
  </w:style>
  <w:style w:type="character" w:styleId="af">
    <w:name w:val="Strong"/>
    <w:basedOn w:val="a0"/>
    <w:uiPriority w:val="22"/>
    <w:qFormat/>
    <w:rsid w:val="001B0A50"/>
    <w:rPr>
      <w:b/>
      <w:bCs/>
    </w:rPr>
  </w:style>
  <w:style w:type="character" w:styleId="af0">
    <w:name w:val="Emphasis"/>
    <w:basedOn w:val="a0"/>
    <w:uiPriority w:val="20"/>
    <w:qFormat/>
    <w:rsid w:val="001B0A50"/>
    <w:rPr>
      <w:i/>
      <w:iCs/>
    </w:rPr>
  </w:style>
  <w:style w:type="paragraph" w:styleId="af1">
    <w:name w:val="Body Text"/>
    <w:basedOn w:val="a"/>
    <w:link w:val="af2"/>
    <w:rsid w:val="004933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ий текст Знак"/>
    <w:basedOn w:val="a0"/>
    <w:link w:val="af1"/>
    <w:rsid w:val="00493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6338E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B255E-C53D-42B2-9C25-853023C4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4082</Words>
  <Characters>2327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САВЕНОК ОЛЕКСІЙ ЮРІЙОВИЧ</dc:creator>
  <cp:lastModifiedBy>СКАКУН ОЛЕКСАНДР ДМИТРОВИЧ</cp:lastModifiedBy>
  <cp:revision>2</cp:revision>
  <cp:lastPrinted>2026-03-26T12:21:00Z</cp:lastPrinted>
  <dcterms:created xsi:type="dcterms:W3CDTF">2026-03-26T12:22:00Z</dcterms:created>
  <dcterms:modified xsi:type="dcterms:W3CDTF">2026-03-26T12:22:00Z</dcterms:modified>
</cp:coreProperties>
</file>