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744" w:rsidRPr="003C7744" w:rsidRDefault="003C7744" w:rsidP="003C7744">
      <w:pPr>
        <w:tabs>
          <w:tab w:val="left" w:pos="567"/>
        </w:tabs>
        <w:ind w:firstLine="567"/>
        <w:jc w:val="center"/>
        <w:rPr>
          <w:rFonts w:ascii="Times New Roman" w:hAnsi="Times New Roman" w:cs="Times New Roman"/>
          <w:b w:val="0"/>
          <w:color w:val="auto"/>
          <w:sz w:val="28"/>
          <w:szCs w:val="28"/>
          <w:u w:val="none"/>
        </w:rPr>
      </w:pPr>
      <w:r w:rsidRPr="003C7744">
        <w:rPr>
          <w:rFonts w:ascii="Times New Roman" w:hAnsi="Times New Roman" w:cs="Times New Roman"/>
          <w:b w:val="0"/>
          <w:color w:val="auto"/>
          <w:sz w:val="28"/>
          <w:szCs w:val="28"/>
          <w:u w:val="none"/>
        </w:rPr>
        <w:t>Індивідуальна податкова консультація</w:t>
      </w:r>
    </w:p>
    <w:p w:rsidR="003C7744" w:rsidRPr="003C7744" w:rsidRDefault="003C7744" w:rsidP="003C7744">
      <w:pPr>
        <w:tabs>
          <w:tab w:val="left" w:pos="567"/>
        </w:tabs>
        <w:ind w:firstLine="567"/>
        <w:jc w:val="both"/>
        <w:rPr>
          <w:rFonts w:ascii="Times New Roman" w:hAnsi="Times New Roman" w:cs="Times New Roman"/>
          <w:b w:val="0"/>
          <w:color w:val="auto"/>
          <w:sz w:val="28"/>
          <w:szCs w:val="28"/>
          <w:u w:val="none"/>
        </w:rPr>
      </w:pPr>
    </w:p>
    <w:p w:rsidR="004B2267" w:rsidRPr="00F571FE" w:rsidRDefault="003C7744" w:rsidP="00F571FE">
      <w:pPr>
        <w:spacing w:line="235" w:lineRule="auto"/>
        <w:ind w:firstLine="567"/>
        <w:jc w:val="both"/>
        <w:rPr>
          <w:rFonts w:ascii="Times New Roman" w:hAnsi="Times New Roman" w:cs="Times New Roman"/>
          <w:b w:val="0"/>
          <w:color w:val="auto"/>
          <w:sz w:val="28"/>
          <w:szCs w:val="28"/>
          <w:u w:val="none"/>
        </w:rPr>
      </w:pPr>
      <w:r w:rsidRPr="00F571FE">
        <w:rPr>
          <w:rFonts w:ascii="Times New Roman" w:hAnsi="Times New Roman" w:cs="Times New Roman"/>
          <w:b w:val="0"/>
          <w:color w:val="auto"/>
          <w:sz w:val="28"/>
          <w:szCs w:val="28"/>
          <w:u w:val="none"/>
        </w:rPr>
        <w:t>Державна податкова служба України, керуючись ст</w:t>
      </w:r>
      <w:r w:rsidR="00877DD5" w:rsidRPr="00F571FE">
        <w:rPr>
          <w:rFonts w:ascii="Times New Roman" w:hAnsi="Times New Roman" w:cs="Times New Roman"/>
          <w:b w:val="0"/>
          <w:color w:val="auto"/>
          <w:sz w:val="28"/>
          <w:szCs w:val="28"/>
          <w:u w:val="none"/>
        </w:rPr>
        <w:t>аттею</w:t>
      </w:r>
      <w:r w:rsidRPr="00F571FE">
        <w:rPr>
          <w:rFonts w:ascii="Times New Roman" w:hAnsi="Times New Roman" w:cs="Times New Roman"/>
          <w:b w:val="0"/>
          <w:color w:val="auto"/>
          <w:sz w:val="28"/>
          <w:szCs w:val="28"/>
          <w:u w:val="none"/>
        </w:rPr>
        <w:t xml:space="preserve"> 52 Податкового кодексу України (далі – Кодекс), </w:t>
      </w:r>
      <w:r w:rsidR="0071412B" w:rsidRPr="00F571FE">
        <w:rPr>
          <w:rFonts w:ascii="Times New Roman" w:hAnsi="Times New Roman" w:cs="Times New Roman"/>
          <w:b w:val="0"/>
          <w:color w:val="auto"/>
          <w:sz w:val="28"/>
          <w:szCs w:val="28"/>
          <w:u w:val="none"/>
        </w:rPr>
        <w:t>розглянула звернення</w:t>
      </w:r>
      <w:r w:rsidR="001A6562" w:rsidRPr="00F571FE">
        <w:rPr>
          <w:rFonts w:ascii="Times New Roman" w:hAnsi="Times New Roman" w:cs="Times New Roman"/>
          <w:b w:val="0"/>
          <w:color w:val="auto"/>
          <w:sz w:val="28"/>
          <w:szCs w:val="28"/>
          <w:u w:val="none"/>
          <w:lang w:val="en-US"/>
        </w:rPr>
        <w:t xml:space="preserve"> </w:t>
      </w:r>
      <w:r w:rsidR="008343EA">
        <w:rPr>
          <w:rFonts w:ascii="Times New Roman" w:hAnsi="Times New Roman" w:cs="Times New Roman"/>
          <w:b w:val="0"/>
          <w:color w:val="auto"/>
          <w:sz w:val="28"/>
          <w:szCs w:val="28"/>
          <w:u w:val="none"/>
        </w:rPr>
        <w:t xml:space="preserve">(         )   </w:t>
      </w:r>
      <w:r w:rsidR="004B2267" w:rsidRPr="00F571FE">
        <w:rPr>
          <w:rFonts w:ascii="Times New Roman" w:hAnsi="Times New Roman" w:cs="Times New Roman"/>
          <w:b w:val="0"/>
          <w:color w:val="auto"/>
          <w:sz w:val="28"/>
          <w:szCs w:val="28"/>
          <w:u w:val="none"/>
        </w:rPr>
        <w:t>щодо практичного застосування норм чинного законодавства та в межах компетенції повідомляє.</w:t>
      </w:r>
    </w:p>
    <w:p w:rsidR="00F571FE" w:rsidRPr="00F571FE" w:rsidRDefault="000B7EEB" w:rsidP="00F571FE">
      <w:pPr>
        <w:ind w:firstLine="567"/>
        <w:jc w:val="both"/>
        <w:rPr>
          <w:rFonts w:ascii="Times New Roman" w:hAnsi="Times New Roman" w:cs="Times New Roman"/>
          <w:b w:val="0"/>
          <w:color w:val="auto"/>
          <w:sz w:val="28"/>
          <w:szCs w:val="28"/>
          <w:u w:val="none"/>
        </w:rPr>
      </w:pPr>
      <w:r w:rsidRPr="00F571FE">
        <w:rPr>
          <w:rFonts w:ascii="Times New Roman" w:hAnsi="Times New Roman" w:cs="Times New Roman"/>
          <w:b w:val="0"/>
          <w:color w:val="auto"/>
          <w:sz w:val="28"/>
          <w:szCs w:val="28"/>
          <w:u w:val="none"/>
        </w:rPr>
        <w:t xml:space="preserve">У своєму зверненні платник </w:t>
      </w:r>
      <w:r w:rsidR="00F571FE" w:rsidRPr="00F571FE">
        <w:rPr>
          <w:rFonts w:ascii="Times New Roman" w:hAnsi="Times New Roman" w:cs="Times New Roman"/>
          <w:b w:val="0"/>
          <w:color w:val="auto"/>
          <w:sz w:val="28"/>
          <w:szCs w:val="28"/>
          <w:u w:val="none"/>
        </w:rPr>
        <w:t xml:space="preserve">зазначила, що практична необхідність отримання </w:t>
      </w:r>
      <w:r w:rsidR="0003241A">
        <w:rPr>
          <w:rFonts w:ascii="Times New Roman" w:hAnsi="Times New Roman" w:cs="Times New Roman"/>
          <w:b w:val="0"/>
          <w:color w:val="auto"/>
          <w:sz w:val="28"/>
          <w:szCs w:val="28"/>
          <w:u w:val="none"/>
        </w:rPr>
        <w:t xml:space="preserve">індивідуальної </w:t>
      </w:r>
      <w:r w:rsidR="00F571FE" w:rsidRPr="00F571FE">
        <w:rPr>
          <w:rFonts w:ascii="Times New Roman" w:hAnsi="Times New Roman" w:cs="Times New Roman"/>
          <w:b w:val="0"/>
          <w:color w:val="auto"/>
          <w:sz w:val="28"/>
          <w:szCs w:val="28"/>
          <w:u w:val="none"/>
        </w:rPr>
        <w:t xml:space="preserve">податкової консультації полягає у необхідності повернення їй, як спадкоємиці, надміру сплачених грошових зобов’язань з єдиного податку її чоловіка, </w:t>
      </w:r>
      <w:r w:rsidR="00F571FE">
        <w:rPr>
          <w:rFonts w:ascii="Times New Roman" w:hAnsi="Times New Roman" w:cs="Times New Roman"/>
          <w:b w:val="0"/>
          <w:color w:val="auto"/>
          <w:sz w:val="28"/>
          <w:szCs w:val="28"/>
          <w:u w:val="none"/>
        </w:rPr>
        <w:t>фізичної особи – підприємця</w:t>
      </w:r>
      <w:r w:rsidR="00F571FE" w:rsidRPr="00F571FE">
        <w:rPr>
          <w:rFonts w:ascii="Times New Roman" w:hAnsi="Times New Roman" w:cs="Times New Roman"/>
          <w:b w:val="0"/>
          <w:color w:val="auto"/>
          <w:sz w:val="28"/>
          <w:szCs w:val="28"/>
          <w:u w:val="none"/>
        </w:rPr>
        <w:t xml:space="preserve"> </w:t>
      </w:r>
      <w:r w:rsidR="008343EA">
        <w:rPr>
          <w:rFonts w:ascii="Times New Roman" w:hAnsi="Times New Roman" w:cs="Times New Roman"/>
          <w:b w:val="0"/>
          <w:color w:val="auto"/>
          <w:sz w:val="28"/>
          <w:szCs w:val="28"/>
          <w:u w:val="none"/>
        </w:rPr>
        <w:t>(          )</w:t>
      </w:r>
      <w:r w:rsidR="00F571FE" w:rsidRPr="00F571FE">
        <w:rPr>
          <w:rFonts w:ascii="Times New Roman" w:hAnsi="Times New Roman" w:cs="Times New Roman"/>
          <w:b w:val="0"/>
          <w:color w:val="auto"/>
          <w:sz w:val="28"/>
          <w:szCs w:val="28"/>
          <w:u w:val="none"/>
        </w:rPr>
        <w:t xml:space="preserve"> (спадкодавця), </w:t>
      </w:r>
      <w:r w:rsidR="0003241A">
        <w:rPr>
          <w:rFonts w:ascii="Times New Roman" w:hAnsi="Times New Roman" w:cs="Times New Roman"/>
          <w:b w:val="0"/>
          <w:color w:val="auto"/>
          <w:sz w:val="28"/>
          <w:szCs w:val="28"/>
          <w:u w:val="none"/>
        </w:rPr>
        <w:t xml:space="preserve">який </w:t>
      </w:r>
      <w:r w:rsidR="00F571FE" w:rsidRPr="00F571FE">
        <w:rPr>
          <w:rFonts w:ascii="Times New Roman" w:hAnsi="Times New Roman" w:cs="Times New Roman"/>
          <w:b w:val="0"/>
          <w:color w:val="auto"/>
          <w:sz w:val="28"/>
          <w:szCs w:val="28"/>
          <w:u w:val="none"/>
        </w:rPr>
        <w:t>помер 12.07.2024.</w:t>
      </w:r>
    </w:p>
    <w:p w:rsidR="00F571FE" w:rsidRPr="00F571FE" w:rsidRDefault="00F571FE" w:rsidP="00F571FE">
      <w:pPr>
        <w:ind w:firstLine="567"/>
        <w:jc w:val="both"/>
        <w:rPr>
          <w:rFonts w:ascii="Times New Roman" w:hAnsi="Times New Roman" w:cs="Times New Roman"/>
          <w:b w:val="0"/>
          <w:color w:val="auto"/>
          <w:sz w:val="28"/>
          <w:szCs w:val="28"/>
          <w:u w:val="none"/>
        </w:rPr>
      </w:pPr>
      <w:r w:rsidRPr="00F571FE">
        <w:rPr>
          <w:rFonts w:ascii="Times New Roman" w:hAnsi="Times New Roman" w:cs="Times New Roman"/>
          <w:b w:val="0"/>
          <w:color w:val="auto"/>
          <w:sz w:val="28"/>
          <w:szCs w:val="28"/>
          <w:u w:val="none"/>
        </w:rPr>
        <w:t xml:space="preserve">У зв’язку з викладеним, </w:t>
      </w:r>
      <w:r>
        <w:rPr>
          <w:rFonts w:ascii="Times New Roman" w:hAnsi="Times New Roman" w:cs="Times New Roman"/>
          <w:b w:val="0"/>
          <w:color w:val="auto"/>
          <w:sz w:val="28"/>
          <w:szCs w:val="28"/>
          <w:u w:val="none"/>
        </w:rPr>
        <w:t>платник податків</w:t>
      </w:r>
      <w:r w:rsidRPr="00F571FE">
        <w:rPr>
          <w:rFonts w:ascii="Times New Roman" w:eastAsia="Times New Roman" w:hAnsi="Times New Roman" w:cs="Times New Roman"/>
          <w:b w:val="0"/>
          <w:color w:val="auto"/>
          <w:sz w:val="28"/>
          <w:szCs w:val="28"/>
          <w:u w:val="none"/>
          <w:lang w:eastAsia="uk-UA"/>
        </w:rPr>
        <w:t xml:space="preserve"> </w:t>
      </w:r>
      <w:r w:rsidRPr="00F571FE">
        <w:rPr>
          <w:rFonts w:ascii="Times New Roman" w:hAnsi="Times New Roman" w:cs="Times New Roman"/>
          <w:b w:val="0"/>
          <w:color w:val="auto"/>
          <w:sz w:val="28"/>
          <w:szCs w:val="28"/>
          <w:u w:val="none"/>
        </w:rPr>
        <w:t>просить надати індивідуальну податкову консультацію щодо</w:t>
      </w:r>
      <w:r w:rsidR="007650DE">
        <w:rPr>
          <w:rFonts w:ascii="Times New Roman" w:hAnsi="Times New Roman" w:cs="Times New Roman"/>
          <w:b w:val="0"/>
          <w:color w:val="auto"/>
          <w:sz w:val="28"/>
          <w:szCs w:val="28"/>
          <w:u w:val="none"/>
          <w:lang w:val="en-US"/>
        </w:rPr>
        <w:t xml:space="preserve"> </w:t>
      </w:r>
      <w:r w:rsidR="007650DE">
        <w:rPr>
          <w:rFonts w:ascii="Times New Roman" w:hAnsi="Times New Roman" w:cs="Times New Roman"/>
          <w:b w:val="0"/>
          <w:color w:val="auto"/>
          <w:sz w:val="28"/>
          <w:szCs w:val="28"/>
          <w:u w:val="none"/>
        </w:rPr>
        <w:t>питань</w:t>
      </w:r>
      <w:r w:rsidRPr="00F571FE">
        <w:rPr>
          <w:rFonts w:ascii="Times New Roman" w:hAnsi="Times New Roman" w:cs="Times New Roman"/>
          <w:b w:val="0"/>
          <w:color w:val="auto"/>
          <w:sz w:val="28"/>
          <w:szCs w:val="28"/>
          <w:u w:val="none"/>
        </w:rPr>
        <w:t>:</w:t>
      </w:r>
    </w:p>
    <w:p w:rsidR="00F571FE" w:rsidRPr="00F571FE" w:rsidRDefault="00F571FE" w:rsidP="00F571FE">
      <w:pPr>
        <w:ind w:firstLine="567"/>
        <w:jc w:val="both"/>
        <w:rPr>
          <w:rFonts w:ascii="Times New Roman" w:hAnsi="Times New Roman" w:cs="Times New Roman"/>
          <w:b w:val="0"/>
          <w:color w:val="auto"/>
          <w:sz w:val="28"/>
          <w:szCs w:val="28"/>
          <w:u w:val="none"/>
        </w:rPr>
      </w:pPr>
      <w:r w:rsidRPr="00F571FE">
        <w:rPr>
          <w:rFonts w:ascii="Times New Roman" w:eastAsia="Times New Roman" w:hAnsi="Times New Roman" w:cs="Times New Roman"/>
          <w:b w:val="0"/>
          <w:color w:val="auto"/>
          <w:sz w:val="28"/>
          <w:szCs w:val="28"/>
          <w:u w:val="none"/>
        </w:rPr>
        <w:t xml:space="preserve">1. </w:t>
      </w:r>
      <w:r w:rsidR="00F47C97">
        <w:rPr>
          <w:rFonts w:ascii="Times New Roman" w:eastAsia="Times New Roman" w:hAnsi="Times New Roman" w:cs="Times New Roman"/>
          <w:b w:val="0"/>
          <w:color w:val="auto"/>
          <w:sz w:val="28"/>
          <w:szCs w:val="28"/>
          <w:u w:val="none"/>
        </w:rPr>
        <w:t>Який п</w:t>
      </w:r>
      <w:r w:rsidRPr="00F571FE">
        <w:rPr>
          <w:rFonts w:ascii="Times New Roman" w:eastAsia="Times New Roman" w:hAnsi="Times New Roman" w:cs="Times New Roman"/>
          <w:b w:val="0"/>
          <w:color w:val="auto"/>
          <w:sz w:val="28"/>
          <w:szCs w:val="28"/>
          <w:u w:val="none"/>
        </w:rPr>
        <w:t>оряд</w:t>
      </w:r>
      <w:r w:rsidR="00F47C97">
        <w:rPr>
          <w:rFonts w:ascii="Times New Roman" w:eastAsia="Times New Roman" w:hAnsi="Times New Roman" w:cs="Times New Roman"/>
          <w:b w:val="0"/>
          <w:color w:val="auto"/>
          <w:sz w:val="28"/>
          <w:szCs w:val="28"/>
          <w:u w:val="none"/>
        </w:rPr>
        <w:t>ок</w:t>
      </w:r>
      <w:r w:rsidRPr="00F571FE">
        <w:rPr>
          <w:rFonts w:ascii="Times New Roman" w:eastAsia="Times New Roman" w:hAnsi="Times New Roman" w:cs="Times New Roman"/>
          <w:b w:val="0"/>
          <w:color w:val="auto"/>
          <w:sz w:val="28"/>
          <w:szCs w:val="28"/>
          <w:u w:val="none"/>
        </w:rPr>
        <w:t>, строк</w:t>
      </w:r>
      <w:r w:rsidR="00F47C97">
        <w:rPr>
          <w:rFonts w:ascii="Times New Roman" w:eastAsia="Times New Roman" w:hAnsi="Times New Roman" w:cs="Times New Roman"/>
          <w:b w:val="0"/>
          <w:color w:val="auto"/>
          <w:sz w:val="28"/>
          <w:szCs w:val="28"/>
          <w:u w:val="none"/>
        </w:rPr>
        <w:t>и</w:t>
      </w:r>
      <w:r w:rsidRPr="00F571FE">
        <w:rPr>
          <w:rFonts w:ascii="Times New Roman" w:eastAsia="Times New Roman" w:hAnsi="Times New Roman" w:cs="Times New Roman"/>
          <w:b w:val="0"/>
          <w:color w:val="auto"/>
          <w:sz w:val="28"/>
          <w:szCs w:val="28"/>
          <w:u w:val="none"/>
        </w:rPr>
        <w:t>, обсяг</w:t>
      </w:r>
      <w:r w:rsidR="00F47C97">
        <w:rPr>
          <w:rFonts w:ascii="Times New Roman" w:eastAsia="Times New Roman" w:hAnsi="Times New Roman" w:cs="Times New Roman"/>
          <w:b w:val="0"/>
          <w:color w:val="auto"/>
          <w:sz w:val="28"/>
          <w:szCs w:val="28"/>
          <w:u w:val="none"/>
        </w:rPr>
        <w:t>и</w:t>
      </w:r>
      <w:r w:rsidRPr="00F571FE">
        <w:rPr>
          <w:rFonts w:ascii="Times New Roman" w:eastAsia="Times New Roman" w:hAnsi="Times New Roman" w:cs="Times New Roman"/>
          <w:b w:val="0"/>
          <w:color w:val="auto"/>
          <w:sz w:val="28"/>
          <w:szCs w:val="28"/>
          <w:u w:val="none"/>
        </w:rPr>
        <w:t xml:space="preserve"> документів для звернення до органів ДПС з метою повернення успадкованої суми надміру сплаченого єдиного податку з фізичних осіб (18050400)</w:t>
      </w:r>
      <w:r w:rsidR="00F47C97">
        <w:rPr>
          <w:rFonts w:ascii="Times New Roman" w:eastAsia="Times New Roman" w:hAnsi="Times New Roman" w:cs="Times New Roman"/>
          <w:b w:val="0"/>
          <w:color w:val="auto"/>
          <w:sz w:val="28"/>
          <w:szCs w:val="28"/>
          <w:u w:val="none"/>
        </w:rPr>
        <w:t>?</w:t>
      </w:r>
      <w:r w:rsidRPr="00F571FE">
        <w:rPr>
          <w:rFonts w:ascii="Times New Roman" w:eastAsia="Times New Roman" w:hAnsi="Times New Roman" w:cs="Times New Roman"/>
          <w:b w:val="0"/>
          <w:color w:val="auto"/>
          <w:sz w:val="28"/>
          <w:szCs w:val="28"/>
          <w:u w:val="none"/>
        </w:rPr>
        <w:t xml:space="preserve"> </w:t>
      </w:r>
    </w:p>
    <w:p w:rsidR="00F571FE" w:rsidRPr="00F571FE" w:rsidRDefault="00F571FE" w:rsidP="00F571FE">
      <w:pPr>
        <w:ind w:firstLine="567"/>
        <w:jc w:val="both"/>
        <w:rPr>
          <w:rFonts w:ascii="Times New Roman" w:eastAsia="Times New Roman" w:hAnsi="Times New Roman" w:cs="Times New Roman"/>
          <w:b w:val="0"/>
          <w:color w:val="auto"/>
          <w:sz w:val="28"/>
          <w:szCs w:val="28"/>
          <w:u w:val="none"/>
        </w:rPr>
      </w:pPr>
      <w:r w:rsidRPr="00F571FE">
        <w:rPr>
          <w:rFonts w:ascii="Times New Roman" w:eastAsia="Times New Roman" w:hAnsi="Times New Roman" w:cs="Times New Roman"/>
          <w:b w:val="0"/>
          <w:color w:val="auto"/>
          <w:sz w:val="28"/>
          <w:szCs w:val="28"/>
          <w:u w:val="none"/>
        </w:rPr>
        <w:t>2.</w:t>
      </w:r>
      <w:r w:rsidR="0003241A">
        <w:rPr>
          <w:rFonts w:ascii="Times New Roman" w:eastAsia="Times New Roman" w:hAnsi="Times New Roman" w:cs="Times New Roman"/>
          <w:b w:val="0"/>
          <w:color w:val="auto"/>
          <w:sz w:val="28"/>
          <w:szCs w:val="28"/>
          <w:u w:val="none"/>
        </w:rPr>
        <w:t xml:space="preserve"> </w:t>
      </w:r>
      <w:r w:rsidRPr="00F571FE">
        <w:rPr>
          <w:rFonts w:ascii="Times New Roman" w:eastAsia="Times New Roman" w:hAnsi="Times New Roman" w:cs="Times New Roman"/>
          <w:b w:val="0"/>
          <w:color w:val="auto"/>
          <w:sz w:val="28"/>
          <w:szCs w:val="28"/>
          <w:u w:val="none"/>
        </w:rPr>
        <w:t xml:space="preserve">Чи регламентовано вимогами статті 43 </w:t>
      </w:r>
      <w:r w:rsidR="00F47C97">
        <w:rPr>
          <w:rFonts w:ascii="Times New Roman" w:eastAsia="Times New Roman" w:hAnsi="Times New Roman" w:cs="Times New Roman"/>
          <w:b w:val="0"/>
          <w:color w:val="auto"/>
          <w:sz w:val="28"/>
          <w:szCs w:val="28"/>
          <w:u w:val="none"/>
        </w:rPr>
        <w:t>Кодексу</w:t>
      </w:r>
      <w:r w:rsidRPr="00F571FE">
        <w:rPr>
          <w:rFonts w:ascii="Times New Roman" w:eastAsia="Times New Roman" w:hAnsi="Times New Roman" w:cs="Times New Roman"/>
          <w:b w:val="0"/>
          <w:color w:val="auto"/>
          <w:sz w:val="28"/>
          <w:szCs w:val="28"/>
          <w:u w:val="none"/>
        </w:rPr>
        <w:t xml:space="preserve"> право спадкоємця на звернення за формою заяви </w:t>
      </w:r>
      <w:r w:rsidRPr="00F571FE">
        <w:rPr>
          <w:rFonts w:ascii="Times New Roman" w:eastAsia="Times New Roman" w:hAnsi="Times New Roman" w:cs="Times New Roman"/>
          <w:b w:val="0"/>
          <w:color w:val="auto"/>
          <w:sz w:val="28"/>
          <w:szCs w:val="28"/>
          <w:u w:val="none"/>
          <w:lang w:val="en-US"/>
        </w:rPr>
        <w:t>F1302002</w:t>
      </w:r>
      <w:r w:rsidRPr="00F571FE">
        <w:rPr>
          <w:rFonts w:ascii="Times New Roman" w:eastAsia="Times New Roman" w:hAnsi="Times New Roman" w:cs="Times New Roman"/>
          <w:b w:val="0"/>
          <w:color w:val="auto"/>
          <w:sz w:val="28"/>
          <w:szCs w:val="28"/>
          <w:u w:val="none"/>
        </w:rPr>
        <w:t>?</w:t>
      </w:r>
    </w:p>
    <w:p w:rsidR="00F571FE" w:rsidRPr="00F571FE" w:rsidRDefault="00F571FE" w:rsidP="00F571FE">
      <w:pPr>
        <w:ind w:firstLine="567"/>
        <w:jc w:val="both"/>
        <w:rPr>
          <w:rFonts w:ascii="Times New Roman" w:eastAsia="Times New Roman" w:hAnsi="Times New Roman" w:cs="Times New Roman"/>
          <w:b w:val="0"/>
          <w:color w:val="auto"/>
          <w:sz w:val="28"/>
          <w:szCs w:val="28"/>
          <w:u w:val="none"/>
        </w:rPr>
      </w:pPr>
      <w:r w:rsidRPr="00F571FE">
        <w:rPr>
          <w:rFonts w:ascii="Times New Roman" w:eastAsia="Times New Roman" w:hAnsi="Times New Roman" w:cs="Times New Roman"/>
          <w:b w:val="0"/>
          <w:color w:val="auto"/>
          <w:sz w:val="28"/>
          <w:szCs w:val="28"/>
          <w:u w:val="none"/>
        </w:rPr>
        <w:t xml:space="preserve">3. Чи вірно буде в заяві за формою </w:t>
      </w:r>
      <w:r w:rsidRPr="00F571FE">
        <w:rPr>
          <w:rFonts w:ascii="Times New Roman" w:eastAsia="Times New Roman" w:hAnsi="Times New Roman" w:cs="Times New Roman"/>
          <w:b w:val="0"/>
          <w:color w:val="auto"/>
          <w:sz w:val="28"/>
          <w:szCs w:val="28"/>
          <w:u w:val="none"/>
          <w:lang w:val="en-US"/>
        </w:rPr>
        <w:t>F1302002</w:t>
      </w:r>
      <w:r w:rsidRPr="00F571FE">
        <w:rPr>
          <w:rFonts w:ascii="Times New Roman" w:eastAsia="Times New Roman" w:hAnsi="Times New Roman" w:cs="Times New Roman"/>
          <w:b w:val="0"/>
          <w:color w:val="auto"/>
          <w:sz w:val="28"/>
          <w:szCs w:val="28"/>
          <w:u w:val="none"/>
        </w:rPr>
        <w:t xml:space="preserve"> в реквізиті «податковий номер платника та серія і номер паспорта» зазначити власні дані, як спадкоємиці?</w:t>
      </w:r>
    </w:p>
    <w:p w:rsidR="00F571FE" w:rsidRPr="00F571FE" w:rsidRDefault="00F571FE" w:rsidP="00F571FE">
      <w:pPr>
        <w:ind w:firstLine="567"/>
        <w:jc w:val="both"/>
        <w:rPr>
          <w:rFonts w:ascii="Times New Roman" w:eastAsia="Times New Roman" w:hAnsi="Times New Roman" w:cs="Times New Roman"/>
          <w:b w:val="0"/>
          <w:color w:val="auto"/>
          <w:sz w:val="28"/>
          <w:szCs w:val="28"/>
          <w:u w:val="none"/>
        </w:rPr>
      </w:pPr>
      <w:r w:rsidRPr="00F571FE">
        <w:rPr>
          <w:rFonts w:ascii="Times New Roman" w:eastAsia="Times New Roman" w:hAnsi="Times New Roman" w:cs="Times New Roman"/>
          <w:b w:val="0"/>
          <w:color w:val="auto"/>
          <w:sz w:val="28"/>
          <w:szCs w:val="28"/>
          <w:u w:val="none"/>
        </w:rPr>
        <w:t xml:space="preserve">4. Чи можливе звернення у довільній формі з урахуванням відсутності необхідних реквізитів (відомості про померлу особу (спадкодавця), відомості про заявника (спадкоємця))? </w:t>
      </w:r>
    </w:p>
    <w:p w:rsidR="00F571FE" w:rsidRDefault="00F571FE" w:rsidP="00F571FE">
      <w:pPr>
        <w:ind w:firstLine="567"/>
        <w:jc w:val="both"/>
        <w:rPr>
          <w:rFonts w:ascii="Times New Roman" w:eastAsia="Times New Roman" w:hAnsi="Times New Roman" w:cs="Times New Roman"/>
          <w:b w:val="0"/>
          <w:color w:val="auto"/>
          <w:sz w:val="28"/>
          <w:szCs w:val="28"/>
          <w:u w:val="none"/>
        </w:rPr>
      </w:pPr>
      <w:r w:rsidRPr="00F571FE">
        <w:rPr>
          <w:rFonts w:ascii="Times New Roman" w:eastAsia="Times New Roman" w:hAnsi="Times New Roman" w:cs="Times New Roman"/>
          <w:b w:val="0"/>
          <w:color w:val="auto"/>
          <w:sz w:val="28"/>
          <w:szCs w:val="28"/>
          <w:u w:val="none"/>
        </w:rPr>
        <w:t xml:space="preserve">5. Чи достатнім підтвердженням права спадкоємця на повернення в межах статті 43 Кодексу буде процесуальний нотаріальний акт – свідоцтво про право власності за законом? </w:t>
      </w:r>
    </w:p>
    <w:p w:rsidR="00021F8B" w:rsidRPr="00830D08" w:rsidRDefault="00021F8B" w:rsidP="00830D08">
      <w:pPr>
        <w:ind w:firstLine="567"/>
        <w:jc w:val="both"/>
        <w:rPr>
          <w:rFonts w:ascii="Times New Roman" w:eastAsia="Times New Roman" w:hAnsi="Times New Roman" w:cs="Times New Roman"/>
          <w:b w:val="0"/>
          <w:color w:val="auto"/>
          <w:sz w:val="28"/>
          <w:szCs w:val="28"/>
          <w:u w:val="none"/>
          <w:lang w:val="en-US"/>
        </w:rPr>
      </w:pPr>
      <w:r>
        <w:rPr>
          <w:rFonts w:ascii="Times New Roman" w:eastAsia="Times New Roman" w:hAnsi="Times New Roman" w:cs="Times New Roman"/>
          <w:b w:val="0"/>
          <w:color w:val="auto"/>
          <w:sz w:val="28"/>
          <w:szCs w:val="28"/>
          <w:u w:val="none"/>
        </w:rPr>
        <w:t xml:space="preserve">Щодо </w:t>
      </w:r>
      <w:r w:rsidR="00830D08">
        <w:rPr>
          <w:rFonts w:ascii="Times New Roman" w:eastAsia="Times New Roman" w:hAnsi="Times New Roman" w:cs="Times New Roman"/>
          <w:b w:val="0"/>
          <w:color w:val="auto"/>
          <w:sz w:val="28"/>
          <w:szCs w:val="28"/>
          <w:u w:val="none"/>
        </w:rPr>
        <w:t>першого</w:t>
      </w:r>
      <w:r w:rsidR="00830D08">
        <w:rPr>
          <w:rFonts w:ascii="Times New Roman" w:eastAsia="Times New Roman" w:hAnsi="Times New Roman" w:cs="Times New Roman"/>
          <w:b w:val="0"/>
          <w:color w:val="auto"/>
          <w:sz w:val="28"/>
          <w:szCs w:val="28"/>
          <w:u w:val="none"/>
          <w:lang w:val="en-US"/>
        </w:rPr>
        <w:t xml:space="preserve"> – </w:t>
      </w:r>
      <w:r w:rsidR="00830D08">
        <w:rPr>
          <w:rFonts w:ascii="Times New Roman" w:eastAsia="Times New Roman" w:hAnsi="Times New Roman" w:cs="Times New Roman"/>
          <w:b w:val="0"/>
          <w:color w:val="auto"/>
          <w:sz w:val="28"/>
          <w:szCs w:val="28"/>
          <w:u w:val="none"/>
        </w:rPr>
        <w:t>п</w:t>
      </w:r>
      <w:r w:rsidR="00830D08">
        <w:rPr>
          <w:rFonts w:ascii="Times New Roman" w:eastAsia="Times New Roman" w:hAnsi="Times New Roman" w:cs="Times New Roman"/>
          <w:b w:val="0"/>
          <w:color w:val="auto"/>
          <w:sz w:val="28"/>
          <w:szCs w:val="28"/>
          <w:u w:val="none"/>
          <w:lang w:val="en-US"/>
        </w:rPr>
        <w:t>’</w:t>
      </w:r>
      <w:proofErr w:type="spellStart"/>
      <w:r w:rsidR="00830D08">
        <w:rPr>
          <w:rFonts w:ascii="Times New Roman" w:eastAsia="Times New Roman" w:hAnsi="Times New Roman" w:cs="Times New Roman"/>
          <w:b w:val="0"/>
          <w:color w:val="auto"/>
          <w:sz w:val="28"/>
          <w:szCs w:val="28"/>
          <w:u w:val="none"/>
        </w:rPr>
        <w:t>ятого</w:t>
      </w:r>
      <w:proofErr w:type="spellEnd"/>
      <w:r w:rsidR="00830D08">
        <w:rPr>
          <w:rFonts w:ascii="Times New Roman" w:eastAsia="Times New Roman" w:hAnsi="Times New Roman" w:cs="Times New Roman"/>
          <w:b w:val="0"/>
          <w:color w:val="auto"/>
          <w:sz w:val="28"/>
          <w:szCs w:val="28"/>
          <w:u w:val="none"/>
        </w:rPr>
        <w:t xml:space="preserve"> </w:t>
      </w:r>
      <w:r>
        <w:rPr>
          <w:rFonts w:ascii="Times New Roman" w:eastAsia="Times New Roman" w:hAnsi="Times New Roman" w:cs="Times New Roman"/>
          <w:b w:val="0"/>
          <w:color w:val="auto"/>
          <w:sz w:val="28"/>
          <w:szCs w:val="28"/>
          <w:u w:val="none"/>
        </w:rPr>
        <w:t>питан</w:t>
      </w:r>
      <w:r w:rsidR="0003241A">
        <w:rPr>
          <w:rFonts w:ascii="Times New Roman" w:eastAsia="Times New Roman" w:hAnsi="Times New Roman" w:cs="Times New Roman"/>
          <w:b w:val="0"/>
          <w:color w:val="auto"/>
          <w:sz w:val="28"/>
          <w:szCs w:val="28"/>
          <w:u w:val="none"/>
        </w:rPr>
        <w:t>ь</w:t>
      </w:r>
      <w:r>
        <w:rPr>
          <w:rFonts w:ascii="Times New Roman" w:eastAsia="Times New Roman" w:hAnsi="Times New Roman" w:cs="Times New Roman"/>
          <w:b w:val="0"/>
          <w:color w:val="auto"/>
          <w:sz w:val="28"/>
          <w:szCs w:val="28"/>
          <w:u w:val="none"/>
        </w:rPr>
        <w:t xml:space="preserve"> </w:t>
      </w:r>
    </w:p>
    <w:p w:rsidR="00F571FE" w:rsidRPr="00F571FE" w:rsidRDefault="00F571FE" w:rsidP="00F571FE">
      <w:pPr>
        <w:ind w:firstLine="567"/>
        <w:jc w:val="both"/>
        <w:rPr>
          <w:rFonts w:ascii="Times New Roman" w:hAnsi="Times New Roman" w:cs="Times New Roman"/>
          <w:b w:val="0"/>
          <w:color w:val="auto"/>
          <w:sz w:val="28"/>
          <w:szCs w:val="28"/>
          <w:u w:val="none"/>
        </w:rPr>
      </w:pPr>
      <w:r w:rsidRPr="00F571FE">
        <w:rPr>
          <w:rFonts w:ascii="Times New Roman" w:hAnsi="Times New Roman" w:cs="Times New Roman"/>
          <w:b w:val="0"/>
          <w:color w:val="auto"/>
          <w:sz w:val="28"/>
          <w:szCs w:val="28"/>
          <w:u w:val="none"/>
        </w:rPr>
        <w:t xml:space="preserve">Для державної реєстрації припинення підприємницької діяльності фізичної особи-підприємця у зв’язку з її смертю або оголошенням її померлою (крім випадку, якщо відомості про смерть містяться в Державному реєстрі актів цивільного стану громадян) подається копія свідоцтва про смерть фізичної особи (пункт 2 частини четвертої статті 18 Закону України від 15 травня 2003 року </w:t>
      </w:r>
      <w:r w:rsidR="0003241A">
        <w:rPr>
          <w:rFonts w:ascii="Times New Roman" w:hAnsi="Times New Roman" w:cs="Times New Roman"/>
          <w:b w:val="0"/>
          <w:color w:val="auto"/>
          <w:sz w:val="28"/>
          <w:szCs w:val="28"/>
          <w:u w:val="none"/>
        </w:rPr>
        <w:br/>
      </w:r>
      <w:r w:rsidRPr="00F571FE">
        <w:rPr>
          <w:rFonts w:ascii="Times New Roman" w:hAnsi="Times New Roman" w:cs="Times New Roman"/>
          <w:b w:val="0"/>
          <w:color w:val="auto"/>
          <w:sz w:val="28"/>
          <w:szCs w:val="28"/>
          <w:u w:val="none"/>
        </w:rPr>
        <w:t>№ 755-І</w:t>
      </w:r>
      <w:r w:rsidRPr="00F571FE">
        <w:rPr>
          <w:rFonts w:ascii="Times New Roman" w:hAnsi="Times New Roman" w:cs="Times New Roman"/>
          <w:b w:val="0"/>
          <w:color w:val="auto"/>
          <w:sz w:val="28"/>
          <w:szCs w:val="28"/>
          <w:u w:val="none"/>
          <w:lang w:val="en-US"/>
        </w:rPr>
        <w:t xml:space="preserve">V </w:t>
      </w:r>
      <w:r w:rsidRPr="00F571FE">
        <w:rPr>
          <w:rFonts w:ascii="Times New Roman" w:hAnsi="Times New Roman" w:cs="Times New Roman"/>
          <w:b w:val="0"/>
          <w:color w:val="auto"/>
          <w:sz w:val="28"/>
          <w:szCs w:val="28"/>
          <w:u w:val="none"/>
        </w:rPr>
        <w:t>«Про державну реєстрацію юридичних осіб, фізичних осіб-підприємців та громадських формувань» (зі змінами)).</w:t>
      </w:r>
    </w:p>
    <w:p w:rsidR="00F571FE" w:rsidRPr="00F571FE" w:rsidRDefault="00F571FE" w:rsidP="00021F8B">
      <w:pPr>
        <w:ind w:firstLine="567"/>
        <w:jc w:val="both"/>
        <w:rPr>
          <w:rFonts w:ascii="Times New Roman" w:hAnsi="Times New Roman" w:cs="Times New Roman"/>
          <w:b w:val="0"/>
          <w:color w:val="auto"/>
          <w:sz w:val="28"/>
          <w:szCs w:val="28"/>
          <w:u w:val="none"/>
        </w:rPr>
      </w:pPr>
      <w:r w:rsidRPr="00F571FE">
        <w:rPr>
          <w:rFonts w:ascii="Times New Roman" w:hAnsi="Times New Roman" w:cs="Times New Roman"/>
          <w:b w:val="0"/>
          <w:color w:val="auto"/>
          <w:sz w:val="28"/>
          <w:szCs w:val="28"/>
          <w:u w:val="none"/>
        </w:rPr>
        <w:t xml:space="preserve">Пунктом 11.18 розділу ХІ Порядку обліку платників податків і зборів, затвердженого наказом Міністерства фінансів України від 09.12.2011 № 1588 (зі змінами), зареєстрованим  в Міністерстві юстиції України 29.12.2011 за </w:t>
      </w:r>
      <w:r w:rsidRPr="00F571FE">
        <w:rPr>
          <w:rFonts w:ascii="Times New Roman" w:hAnsi="Times New Roman" w:cs="Times New Roman"/>
          <w:b w:val="0"/>
          <w:color w:val="auto"/>
          <w:sz w:val="28"/>
          <w:szCs w:val="28"/>
          <w:u w:val="none"/>
        </w:rPr>
        <w:br/>
        <w:t>№ 1562/20300 (зі змінами) (далі – Порядок № 1588), передбачено, що підставою для зняття фізичної особи</w:t>
      </w:r>
      <w:r w:rsidR="00021F8B">
        <w:rPr>
          <w:rFonts w:ascii="Times New Roman" w:hAnsi="Times New Roman" w:cs="Times New Roman"/>
          <w:b w:val="0"/>
          <w:color w:val="auto"/>
          <w:sz w:val="28"/>
          <w:szCs w:val="28"/>
          <w:u w:val="none"/>
        </w:rPr>
        <w:t xml:space="preserve"> – </w:t>
      </w:r>
      <w:r w:rsidRPr="00F571FE">
        <w:rPr>
          <w:rFonts w:ascii="Times New Roman" w:hAnsi="Times New Roman" w:cs="Times New Roman"/>
          <w:b w:val="0"/>
          <w:color w:val="auto"/>
          <w:sz w:val="28"/>
          <w:szCs w:val="28"/>
          <w:u w:val="none"/>
        </w:rPr>
        <w:t>підприємця з обліку у відповідному контролюючому органі є відомості з Єдиного державного реєстру про державну реєстрацію припинення у разі її смерті або оголошення її померлою.</w:t>
      </w:r>
    </w:p>
    <w:p w:rsidR="00F571FE" w:rsidRPr="00F571FE" w:rsidRDefault="00F571FE" w:rsidP="00021F8B">
      <w:pPr>
        <w:ind w:firstLine="567"/>
        <w:jc w:val="both"/>
        <w:rPr>
          <w:rFonts w:ascii="Times New Roman" w:hAnsi="Times New Roman" w:cs="Times New Roman"/>
          <w:b w:val="0"/>
          <w:color w:val="auto"/>
          <w:sz w:val="28"/>
          <w:szCs w:val="28"/>
          <w:u w:val="none"/>
        </w:rPr>
      </w:pPr>
      <w:r w:rsidRPr="00F571FE">
        <w:rPr>
          <w:rFonts w:ascii="Times New Roman" w:hAnsi="Times New Roman" w:cs="Times New Roman"/>
          <w:b w:val="0"/>
          <w:color w:val="auto"/>
          <w:sz w:val="28"/>
          <w:szCs w:val="28"/>
          <w:u w:val="none"/>
        </w:rPr>
        <w:t xml:space="preserve">Отже, територіальний орган ДПС знімає з податкового обліку фізичну </w:t>
      </w:r>
      <w:r w:rsidR="0003241A">
        <w:rPr>
          <w:rFonts w:ascii="Times New Roman" w:hAnsi="Times New Roman" w:cs="Times New Roman"/>
          <w:b w:val="0"/>
          <w:color w:val="auto"/>
          <w:sz w:val="28"/>
          <w:szCs w:val="28"/>
          <w:u w:val="none"/>
        </w:rPr>
        <w:br/>
      </w:r>
      <w:r w:rsidRPr="00F571FE">
        <w:rPr>
          <w:rFonts w:ascii="Times New Roman" w:hAnsi="Times New Roman" w:cs="Times New Roman"/>
          <w:b w:val="0"/>
          <w:color w:val="auto"/>
          <w:sz w:val="28"/>
          <w:szCs w:val="28"/>
          <w:u w:val="none"/>
        </w:rPr>
        <w:t>особу</w:t>
      </w:r>
      <w:r w:rsidR="0003241A">
        <w:rPr>
          <w:rFonts w:ascii="Times New Roman" w:hAnsi="Times New Roman" w:cs="Times New Roman"/>
          <w:b w:val="0"/>
          <w:color w:val="auto"/>
          <w:sz w:val="28"/>
          <w:szCs w:val="28"/>
          <w:u w:val="none"/>
        </w:rPr>
        <w:t xml:space="preserve"> </w:t>
      </w:r>
      <w:r w:rsidR="00021F8B">
        <w:rPr>
          <w:rFonts w:ascii="Times New Roman" w:hAnsi="Times New Roman" w:cs="Times New Roman"/>
          <w:b w:val="0"/>
          <w:color w:val="auto"/>
          <w:sz w:val="28"/>
          <w:szCs w:val="28"/>
          <w:u w:val="none"/>
        </w:rPr>
        <w:t xml:space="preserve">– </w:t>
      </w:r>
      <w:r w:rsidRPr="00F571FE">
        <w:rPr>
          <w:rFonts w:ascii="Times New Roman" w:hAnsi="Times New Roman" w:cs="Times New Roman"/>
          <w:b w:val="0"/>
          <w:color w:val="auto"/>
          <w:sz w:val="28"/>
          <w:szCs w:val="28"/>
          <w:u w:val="none"/>
        </w:rPr>
        <w:t xml:space="preserve">підприємця після проведення всіх процедур, визначених у Порядку </w:t>
      </w:r>
      <w:r w:rsidRPr="00F571FE">
        <w:rPr>
          <w:rFonts w:ascii="Times New Roman" w:hAnsi="Times New Roman" w:cs="Times New Roman"/>
          <w:b w:val="0"/>
          <w:color w:val="auto"/>
          <w:sz w:val="28"/>
          <w:szCs w:val="28"/>
          <w:u w:val="none"/>
        </w:rPr>
        <w:br/>
        <w:t>№ 1588. Дата зняття з обліку фізичної особи –</w:t>
      </w:r>
      <w:r w:rsidR="00021F8B">
        <w:rPr>
          <w:rFonts w:ascii="Times New Roman" w:hAnsi="Times New Roman" w:cs="Times New Roman"/>
          <w:b w:val="0"/>
          <w:color w:val="auto"/>
          <w:sz w:val="28"/>
          <w:szCs w:val="28"/>
          <w:u w:val="none"/>
        </w:rPr>
        <w:t xml:space="preserve"> </w:t>
      </w:r>
      <w:r w:rsidRPr="00F571FE">
        <w:rPr>
          <w:rFonts w:ascii="Times New Roman" w:hAnsi="Times New Roman" w:cs="Times New Roman"/>
          <w:b w:val="0"/>
          <w:color w:val="auto"/>
          <w:sz w:val="28"/>
          <w:szCs w:val="28"/>
          <w:u w:val="none"/>
        </w:rPr>
        <w:t xml:space="preserve">підприємця відповідає даті </w:t>
      </w:r>
      <w:r w:rsidRPr="00F571FE">
        <w:rPr>
          <w:rFonts w:ascii="Times New Roman" w:hAnsi="Times New Roman" w:cs="Times New Roman"/>
          <w:b w:val="0"/>
          <w:color w:val="auto"/>
          <w:sz w:val="28"/>
          <w:szCs w:val="28"/>
          <w:u w:val="none"/>
        </w:rPr>
        <w:lastRenderedPageBreak/>
        <w:t>отримання відомостей про державну реєстрацію припи</w:t>
      </w:r>
      <w:r w:rsidR="00021F8B">
        <w:rPr>
          <w:rFonts w:ascii="Times New Roman" w:hAnsi="Times New Roman" w:cs="Times New Roman"/>
          <w:b w:val="0"/>
          <w:color w:val="auto"/>
          <w:sz w:val="28"/>
          <w:szCs w:val="28"/>
          <w:u w:val="none"/>
        </w:rPr>
        <w:t>н</w:t>
      </w:r>
      <w:r w:rsidRPr="00F571FE">
        <w:rPr>
          <w:rFonts w:ascii="Times New Roman" w:hAnsi="Times New Roman" w:cs="Times New Roman"/>
          <w:b w:val="0"/>
          <w:color w:val="auto"/>
          <w:sz w:val="28"/>
          <w:szCs w:val="28"/>
          <w:u w:val="none"/>
        </w:rPr>
        <w:t>ення підприємницької діяльності фізичної особи</w:t>
      </w:r>
      <w:r w:rsidR="00021F8B">
        <w:rPr>
          <w:rFonts w:ascii="Times New Roman" w:hAnsi="Times New Roman" w:cs="Times New Roman"/>
          <w:b w:val="0"/>
          <w:color w:val="auto"/>
          <w:sz w:val="28"/>
          <w:szCs w:val="28"/>
          <w:u w:val="none"/>
        </w:rPr>
        <w:t xml:space="preserve"> – </w:t>
      </w:r>
      <w:r w:rsidRPr="00F571FE">
        <w:rPr>
          <w:rFonts w:ascii="Times New Roman" w:hAnsi="Times New Roman" w:cs="Times New Roman"/>
          <w:b w:val="0"/>
          <w:color w:val="auto"/>
          <w:sz w:val="28"/>
          <w:szCs w:val="28"/>
          <w:u w:val="none"/>
        </w:rPr>
        <w:t xml:space="preserve">підприємця. </w:t>
      </w:r>
    </w:p>
    <w:p w:rsidR="00F571FE" w:rsidRPr="00F571FE" w:rsidRDefault="00F571FE" w:rsidP="00F571FE">
      <w:pPr>
        <w:ind w:firstLine="567"/>
        <w:jc w:val="both"/>
        <w:rPr>
          <w:rFonts w:ascii="Times New Roman" w:hAnsi="Times New Roman" w:cs="Times New Roman"/>
          <w:b w:val="0"/>
          <w:color w:val="auto"/>
          <w:sz w:val="28"/>
          <w:szCs w:val="28"/>
          <w:u w:val="none"/>
        </w:rPr>
      </w:pPr>
      <w:r w:rsidRPr="00F571FE">
        <w:rPr>
          <w:rFonts w:ascii="Times New Roman" w:hAnsi="Times New Roman" w:cs="Times New Roman"/>
          <w:b w:val="0"/>
          <w:color w:val="auto"/>
          <w:sz w:val="28"/>
          <w:szCs w:val="28"/>
          <w:u w:val="none"/>
        </w:rPr>
        <w:t xml:space="preserve">Відповідно до частини першої статті 1216 Цивільного кодексу України </w:t>
      </w:r>
      <w:r w:rsidR="0003241A">
        <w:rPr>
          <w:rFonts w:ascii="Times New Roman" w:hAnsi="Times New Roman" w:cs="Times New Roman"/>
          <w:b w:val="0"/>
          <w:color w:val="auto"/>
          <w:sz w:val="28"/>
          <w:szCs w:val="28"/>
          <w:u w:val="none"/>
        </w:rPr>
        <w:br/>
      </w:r>
      <w:r w:rsidRPr="00F571FE">
        <w:rPr>
          <w:rFonts w:ascii="Times New Roman" w:hAnsi="Times New Roman" w:cs="Times New Roman"/>
          <w:b w:val="0"/>
          <w:color w:val="auto"/>
          <w:sz w:val="28"/>
          <w:szCs w:val="28"/>
          <w:u w:val="none"/>
        </w:rPr>
        <w:t>(далі – ЦКУ) спадкуванням є перехід прав та обов’язків (спадщини) від фізичної особи, яка померла (спадкодавця), до інших осіб (спадкоємців). До складу спадщини входять усі права та обов’язки, що належали спадкодавцеві на момент відкриття спадщини і не припинилися внаслідок його смерті (частина перша статті 1218 ЦКУ).</w:t>
      </w:r>
    </w:p>
    <w:p w:rsidR="00F571FE" w:rsidRPr="00F571FE" w:rsidRDefault="00F571FE" w:rsidP="00F571FE">
      <w:pPr>
        <w:pStyle w:val="rvps2"/>
        <w:ind w:firstLine="567"/>
        <w:rPr>
          <w:rFonts w:eastAsiaTheme="minorHAnsi"/>
          <w:sz w:val="28"/>
          <w:szCs w:val="28"/>
          <w:lang w:val="uk-UA"/>
        </w:rPr>
      </w:pPr>
      <w:r w:rsidRPr="00F571FE">
        <w:rPr>
          <w:rFonts w:eastAsiaTheme="minorHAnsi"/>
          <w:sz w:val="28"/>
          <w:szCs w:val="28"/>
          <w:lang w:val="uk-UA"/>
        </w:rPr>
        <w:t>Згідно з частиною другою статті 1220 ЦКУ часом відкриття спадщини є день смерті особи або день, з якого вона оголошується померлою (</w:t>
      </w:r>
      <w:hyperlink w:anchor="n276" w:history="1">
        <w:r w:rsidRPr="00F571FE">
          <w:rPr>
            <w:rFonts w:eastAsiaTheme="minorHAnsi"/>
            <w:sz w:val="28"/>
            <w:szCs w:val="28"/>
            <w:lang w:val="uk-UA"/>
          </w:rPr>
          <w:t xml:space="preserve">частина третя </w:t>
        </w:r>
        <w:r w:rsidR="0003241A">
          <w:rPr>
            <w:rFonts w:eastAsiaTheme="minorHAnsi"/>
            <w:sz w:val="28"/>
            <w:szCs w:val="28"/>
            <w:lang w:val="uk-UA"/>
          </w:rPr>
          <w:br/>
        </w:r>
        <w:r w:rsidRPr="00F571FE">
          <w:rPr>
            <w:rFonts w:eastAsiaTheme="minorHAnsi"/>
            <w:sz w:val="28"/>
            <w:szCs w:val="28"/>
            <w:lang w:val="uk-UA"/>
          </w:rPr>
          <w:t>статті 46</w:t>
        </w:r>
      </w:hyperlink>
      <w:r w:rsidRPr="00F571FE">
        <w:rPr>
          <w:rFonts w:eastAsiaTheme="minorHAnsi"/>
          <w:sz w:val="28"/>
          <w:szCs w:val="28"/>
          <w:lang w:val="uk-UA"/>
        </w:rPr>
        <w:t xml:space="preserve"> ЦКУ).</w:t>
      </w:r>
    </w:p>
    <w:p w:rsidR="00F571FE" w:rsidRPr="00F571FE" w:rsidRDefault="00F571FE" w:rsidP="00F571FE">
      <w:pPr>
        <w:pStyle w:val="rvps2"/>
        <w:ind w:firstLine="567"/>
        <w:rPr>
          <w:rFonts w:eastAsiaTheme="minorHAnsi"/>
          <w:sz w:val="28"/>
          <w:szCs w:val="28"/>
          <w:lang w:val="uk-UA"/>
        </w:rPr>
      </w:pPr>
      <w:r w:rsidRPr="00F571FE">
        <w:rPr>
          <w:rFonts w:eastAsiaTheme="minorHAnsi"/>
          <w:sz w:val="28"/>
          <w:szCs w:val="28"/>
          <w:lang w:val="uk-UA"/>
        </w:rPr>
        <w:t>З урахуванням статті 1222 ЦКУ спадкоємцями за заповітом і за законом можуть бути фізичні особи, які є живими на час відкриття спадщини, а також особи, які були зачаті за життя спадкодавця і народжені живими після відкриття спадщини. Спадкоємцями за заповітом можуть бути юридичні особи та інші учасники цивільних відносин (</w:t>
      </w:r>
      <w:hyperlink w:anchor="n17" w:history="1">
        <w:r w:rsidRPr="00F571FE">
          <w:rPr>
            <w:rFonts w:eastAsiaTheme="minorHAnsi"/>
            <w:sz w:val="28"/>
            <w:szCs w:val="28"/>
            <w:lang w:val="uk-UA"/>
          </w:rPr>
          <w:t>стаття 2</w:t>
        </w:r>
      </w:hyperlink>
      <w:r w:rsidRPr="00F571FE">
        <w:rPr>
          <w:rFonts w:eastAsiaTheme="minorHAnsi"/>
          <w:sz w:val="28"/>
          <w:szCs w:val="28"/>
          <w:lang w:val="uk-UA"/>
        </w:rPr>
        <w:t xml:space="preserve"> ЦКУ).</w:t>
      </w:r>
    </w:p>
    <w:p w:rsidR="00F571FE" w:rsidRPr="00F571FE" w:rsidRDefault="00F571FE" w:rsidP="00F571FE">
      <w:pPr>
        <w:pStyle w:val="rvps2"/>
        <w:ind w:firstLine="567"/>
        <w:rPr>
          <w:rFonts w:eastAsiaTheme="minorHAnsi"/>
          <w:sz w:val="28"/>
          <w:szCs w:val="28"/>
          <w:lang w:val="uk-UA"/>
        </w:rPr>
      </w:pPr>
      <w:r w:rsidRPr="00F571FE">
        <w:rPr>
          <w:rFonts w:eastAsiaTheme="minorHAnsi"/>
          <w:sz w:val="28"/>
          <w:szCs w:val="28"/>
          <w:lang w:val="uk-UA"/>
        </w:rPr>
        <w:t xml:space="preserve">На виконання вимог статті 1223 ЦКУ право на спадкування мають особи, визначені у заповіті. </w:t>
      </w:r>
      <w:bookmarkStart w:id="0" w:name="n5715"/>
      <w:bookmarkEnd w:id="0"/>
      <w:r w:rsidRPr="00F571FE">
        <w:rPr>
          <w:rFonts w:eastAsiaTheme="minorHAnsi"/>
          <w:sz w:val="28"/>
          <w:szCs w:val="28"/>
          <w:lang w:val="uk-UA"/>
        </w:rPr>
        <w:t xml:space="preserve">У разі відсутності заповіту, визнання його недійсним, неприйняття спадщини або відмови від її прийняття спадкоємцями за заповітом, а також у разі </w:t>
      </w:r>
      <w:proofErr w:type="spellStart"/>
      <w:r w:rsidRPr="00F571FE">
        <w:rPr>
          <w:rFonts w:eastAsiaTheme="minorHAnsi"/>
          <w:sz w:val="28"/>
          <w:szCs w:val="28"/>
          <w:lang w:val="uk-UA"/>
        </w:rPr>
        <w:t>неохоплення</w:t>
      </w:r>
      <w:proofErr w:type="spellEnd"/>
      <w:r w:rsidRPr="00F571FE">
        <w:rPr>
          <w:rFonts w:eastAsiaTheme="minorHAnsi"/>
          <w:sz w:val="28"/>
          <w:szCs w:val="28"/>
          <w:lang w:val="uk-UA"/>
        </w:rPr>
        <w:t xml:space="preserve"> заповітом усієї спадщини право на спадкування за законом одержують особи, визначені у </w:t>
      </w:r>
      <w:hyperlink w:anchor="n5895" w:history="1">
        <w:r w:rsidRPr="00F571FE">
          <w:rPr>
            <w:rFonts w:eastAsiaTheme="minorHAnsi"/>
            <w:sz w:val="28"/>
            <w:szCs w:val="28"/>
            <w:lang w:val="uk-UA"/>
          </w:rPr>
          <w:t>статтях 1261-1265</w:t>
        </w:r>
      </w:hyperlink>
      <w:r w:rsidRPr="00F571FE">
        <w:rPr>
          <w:rFonts w:eastAsiaTheme="minorHAnsi"/>
          <w:sz w:val="28"/>
          <w:szCs w:val="28"/>
          <w:lang w:val="uk-UA"/>
        </w:rPr>
        <w:t xml:space="preserve"> ЦКУ.</w:t>
      </w:r>
    </w:p>
    <w:p w:rsidR="00F571FE" w:rsidRPr="00F571FE" w:rsidRDefault="00F571FE" w:rsidP="00F571FE">
      <w:pPr>
        <w:pStyle w:val="rvps2"/>
        <w:ind w:firstLine="567"/>
        <w:rPr>
          <w:rFonts w:eastAsiaTheme="minorHAnsi"/>
          <w:sz w:val="28"/>
          <w:szCs w:val="28"/>
          <w:lang w:val="uk-UA"/>
        </w:rPr>
      </w:pPr>
      <w:r w:rsidRPr="00F571FE">
        <w:rPr>
          <w:rFonts w:eastAsiaTheme="minorHAnsi"/>
          <w:sz w:val="28"/>
          <w:szCs w:val="28"/>
          <w:lang w:val="uk-UA"/>
        </w:rPr>
        <w:t>При цьому, право на спадкування виникає у день відкриття спадщини.</w:t>
      </w:r>
    </w:p>
    <w:p w:rsidR="00F571FE" w:rsidRPr="00F571FE" w:rsidRDefault="00F571FE" w:rsidP="00F571FE">
      <w:pPr>
        <w:pStyle w:val="rvps2"/>
        <w:ind w:firstLine="567"/>
        <w:rPr>
          <w:rFonts w:eastAsiaTheme="minorHAnsi"/>
          <w:sz w:val="28"/>
          <w:szCs w:val="28"/>
          <w:lang w:val="uk-UA"/>
        </w:rPr>
      </w:pPr>
      <w:r w:rsidRPr="00F571FE">
        <w:rPr>
          <w:rFonts w:eastAsiaTheme="minorHAnsi"/>
          <w:sz w:val="28"/>
          <w:szCs w:val="28"/>
          <w:lang w:val="uk-UA"/>
        </w:rPr>
        <w:t xml:space="preserve">Спадкоємці за законом одержують право на спадкування почергово (частина перша статті 1258 ЦКУ). Черги спадкоємців визначено </w:t>
      </w:r>
      <w:r w:rsidRPr="00F571FE">
        <w:rPr>
          <w:rFonts w:eastAsiaTheme="minorHAnsi"/>
          <w:sz w:val="28"/>
          <w:szCs w:val="28"/>
          <w:lang w:val="uk-UA"/>
        </w:rPr>
        <w:br/>
        <w:t>статтями 1261, 1262, 1263, 1264, 1265 ЦКУ. Документом, що підтверджує розмір частки у спадщині, є  свідоцтво про право на спадщину.</w:t>
      </w:r>
    </w:p>
    <w:p w:rsidR="00F571FE" w:rsidRPr="00F571FE" w:rsidRDefault="00F571FE" w:rsidP="00F571FE">
      <w:pPr>
        <w:pStyle w:val="rvps2"/>
        <w:ind w:firstLine="567"/>
        <w:rPr>
          <w:rFonts w:eastAsiaTheme="minorHAnsi"/>
          <w:sz w:val="28"/>
          <w:szCs w:val="28"/>
          <w:lang w:val="uk-UA"/>
        </w:rPr>
      </w:pPr>
      <w:r w:rsidRPr="00F571FE">
        <w:rPr>
          <w:rFonts w:eastAsiaTheme="minorHAnsi"/>
          <w:sz w:val="28"/>
          <w:szCs w:val="28"/>
          <w:lang w:val="uk-UA"/>
        </w:rPr>
        <w:t xml:space="preserve">Отже, за умов, визначених ЦКУ, спадкоємці за заповітом і за законом отримують </w:t>
      </w:r>
      <w:r w:rsidRPr="00F571FE">
        <w:rPr>
          <w:sz w:val="28"/>
          <w:szCs w:val="28"/>
          <w:lang w:val="uk-UA"/>
        </w:rPr>
        <w:t xml:space="preserve">від фізичної особи, яка померла (спадкодавця), обов’язки та права, у тому числі щодо </w:t>
      </w:r>
      <w:r w:rsidRPr="00F571FE">
        <w:rPr>
          <w:rStyle w:val="spanrvts0"/>
          <w:sz w:val="28"/>
          <w:szCs w:val="28"/>
          <w:lang w:val="uk" w:eastAsia="uk"/>
        </w:rPr>
        <w:t>помилково та/або надміру сплачених грошових зобов’язань спадкодавця</w:t>
      </w:r>
      <w:r w:rsidRPr="00F571FE">
        <w:rPr>
          <w:rFonts w:eastAsiaTheme="minorHAnsi"/>
          <w:sz w:val="28"/>
          <w:szCs w:val="28"/>
          <w:lang w:val="uk-UA"/>
        </w:rPr>
        <w:t>.</w:t>
      </w:r>
    </w:p>
    <w:p w:rsidR="00F571FE" w:rsidRPr="00F571FE" w:rsidRDefault="00F571FE" w:rsidP="00F571FE">
      <w:pPr>
        <w:pStyle w:val="rvps2"/>
        <w:ind w:firstLine="567"/>
        <w:rPr>
          <w:rFonts w:eastAsiaTheme="minorHAnsi"/>
          <w:sz w:val="28"/>
          <w:szCs w:val="28"/>
          <w:lang w:val="uk-UA"/>
        </w:rPr>
      </w:pPr>
      <w:r w:rsidRPr="00F571FE">
        <w:rPr>
          <w:rStyle w:val="spanrvts0"/>
          <w:sz w:val="28"/>
          <w:szCs w:val="28"/>
          <w:lang w:val="uk" w:eastAsia="uk"/>
        </w:rPr>
        <w:t>Разом з цим, умови повернення помилково та/або надміру сплачених грошових зобов’язань та пені</w:t>
      </w:r>
      <w:r w:rsidRPr="00F571FE">
        <w:rPr>
          <w:rStyle w:val="spanrvts9"/>
          <w:b w:val="0"/>
          <w:sz w:val="28"/>
          <w:szCs w:val="28"/>
          <w:lang w:val="uk" w:eastAsia="uk"/>
        </w:rPr>
        <w:t xml:space="preserve"> встановлено статтею 43 Кодексу. З</w:t>
      </w:r>
      <w:r w:rsidRPr="00F571FE">
        <w:rPr>
          <w:rFonts w:eastAsiaTheme="minorHAnsi"/>
          <w:sz w:val="28"/>
          <w:szCs w:val="28"/>
          <w:lang w:val="uk-UA"/>
        </w:rPr>
        <w:t xml:space="preserve">гідно з вказаною статтею Кодексу помилково та/або надміру сплачені грошові зобов’язання підлягають поверненню виключно платнику податків.  </w:t>
      </w:r>
    </w:p>
    <w:p w:rsidR="00F571FE" w:rsidRPr="00F571FE" w:rsidRDefault="00F571FE" w:rsidP="00F571FE">
      <w:pPr>
        <w:pStyle w:val="rvps2"/>
        <w:rPr>
          <w:rFonts w:eastAsiaTheme="minorHAnsi"/>
          <w:sz w:val="28"/>
          <w:szCs w:val="28"/>
          <w:lang w:val="uk-UA"/>
        </w:rPr>
      </w:pPr>
      <w:r w:rsidRPr="00F571FE">
        <w:rPr>
          <w:rFonts w:eastAsiaTheme="minorHAnsi"/>
          <w:sz w:val="28"/>
          <w:szCs w:val="28"/>
          <w:lang w:val="uk-UA"/>
        </w:rPr>
        <w:t>Відповідно до пункту 15.1 статті 15 Кодексу платниками податків визнаються фізичні особи (резиденти і нерезиденти України), юридичні особи (резиденти і нерезиденти України) та їх відокремлені підрозділи, які мають, одержують (передають) об’єкти оподаткування або провадять діяльність (операції), що є об’єктом оподаткування згідно з Кодексом або податковими законами, і на яких покладено обов’язок із сплати податків та зборів згідно з Кодексом.</w:t>
      </w:r>
    </w:p>
    <w:p w:rsidR="00F571FE" w:rsidRPr="00F571FE" w:rsidRDefault="00F571FE" w:rsidP="00F571FE">
      <w:pPr>
        <w:pStyle w:val="rvps2"/>
        <w:ind w:firstLine="567"/>
        <w:rPr>
          <w:rFonts w:eastAsiaTheme="minorHAnsi"/>
          <w:sz w:val="28"/>
          <w:szCs w:val="28"/>
          <w:lang w:val="uk-UA"/>
        </w:rPr>
      </w:pPr>
      <w:r w:rsidRPr="00F571FE">
        <w:rPr>
          <w:rFonts w:eastAsiaTheme="minorHAnsi"/>
          <w:sz w:val="28"/>
          <w:szCs w:val="28"/>
          <w:lang w:val="uk-UA"/>
        </w:rPr>
        <w:lastRenderedPageBreak/>
        <w:t>Згідно з пунктом 43.1 статті 43 Кодексу помилково та/або надміру сплачені суми грошового зобов’язання підлягають поверненню платнику, крім випадків наявності у такого платника податкового боргу.</w:t>
      </w:r>
    </w:p>
    <w:p w:rsidR="00F571FE" w:rsidRPr="00F571FE" w:rsidRDefault="00F571FE" w:rsidP="00F571FE">
      <w:pPr>
        <w:pStyle w:val="rvps2"/>
        <w:ind w:firstLine="567"/>
        <w:rPr>
          <w:rFonts w:eastAsiaTheme="minorHAnsi"/>
          <w:sz w:val="28"/>
          <w:szCs w:val="28"/>
          <w:lang w:val="uk-UA"/>
        </w:rPr>
      </w:pPr>
      <w:r w:rsidRPr="00F571FE">
        <w:rPr>
          <w:rFonts w:eastAsiaTheme="minorHAnsi"/>
          <w:sz w:val="28"/>
          <w:szCs w:val="28"/>
          <w:lang w:val="uk-UA"/>
        </w:rPr>
        <w:t>Пунктом 43.2 статті 43 Кодексу визначено, що у разі наявності у платника податків податкового боргу, повернення помилково та/або надміру сплаченої суми грошового зобов’язання на рахунок такого платника податків у банку або небанківському надавачу платіжних послуг, проводиться лише після повного погашення такого податкового боргу платником податків.</w:t>
      </w:r>
    </w:p>
    <w:p w:rsidR="00F571FE" w:rsidRPr="00F571FE" w:rsidRDefault="00F571FE" w:rsidP="00F571FE">
      <w:pPr>
        <w:pStyle w:val="rvps2"/>
        <w:ind w:firstLine="567"/>
        <w:rPr>
          <w:rFonts w:eastAsiaTheme="minorHAnsi"/>
          <w:sz w:val="28"/>
          <w:szCs w:val="28"/>
          <w:lang w:val="uk-UA"/>
        </w:rPr>
      </w:pPr>
      <w:r w:rsidRPr="00F571FE">
        <w:rPr>
          <w:rFonts w:eastAsiaTheme="minorHAnsi"/>
          <w:sz w:val="28"/>
          <w:szCs w:val="28"/>
          <w:lang w:val="uk-UA"/>
        </w:rPr>
        <w:t>Підпунктом 97.4.4 пункту 97.4 статті 97 Кодексу встановлено, що стосовно фізичної особи, яка померла або визнана судом безвісно відсутньою або оголошена померлою чи визнана недієздатною, особою, відповідальною за погашення грошових зобов’язань чи податкового боргу платника податків, є особи, які вступають у права спадщини. Статтею 99 Кодексу визначено порядок виконання грошових зобов’язань та/або погашення податкового боргу фізичної особи - підприємця у разі її смерті або визнання безвісно відсутньою.</w:t>
      </w:r>
    </w:p>
    <w:p w:rsidR="00F571FE" w:rsidRPr="00F571FE" w:rsidRDefault="00F571FE" w:rsidP="00F571FE">
      <w:pPr>
        <w:pStyle w:val="rvps2"/>
        <w:ind w:firstLine="567"/>
        <w:rPr>
          <w:rFonts w:eastAsiaTheme="minorHAnsi"/>
          <w:sz w:val="28"/>
          <w:szCs w:val="28"/>
          <w:lang w:val="uk-UA"/>
        </w:rPr>
      </w:pPr>
      <w:r w:rsidRPr="00F571FE">
        <w:rPr>
          <w:rFonts w:eastAsiaTheme="minorHAnsi"/>
          <w:sz w:val="28"/>
          <w:szCs w:val="28"/>
          <w:lang w:val="uk-UA"/>
        </w:rPr>
        <w:t>З урахуванням пункту 43.3 статті 43 Кодексу обов’язковою умовою для здійснення повернення сум грошового зобов’язання та пені є подання платником податків заяви про таке повернення протягом 1095 днів від дня виникнення помилково та/або надміру сплаченої суми.</w:t>
      </w:r>
    </w:p>
    <w:p w:rsidR="00F571FE" w:rsidRPr="00F571FE" w:rsidRDefault="00F571FE" w:rsidP="00F571FE">
      <w:pPr>
        <w:pStyle w:val="rvps2"/>
        <w:ind w:firstLine="567"/>
        <w:rPr>
          <w:sz w:val="28"/>
          <w:szCs w:val="28"/>
          <w:lang w:val="uk-UA"/>
        </w:rPr>
      </w:pPr>
      <w:r w:rsidRPr="00F571FE">
        <w:rPr>
          <w:sz w:val="28"/>
          <w:szCs w:val="28"/>
          <w:lang w:val="uk-UA"/>
        </w:rPr>
        <w:t>На виконання</w:t>
      </w:r>
      <w:r w:rsidRPr="00F571FE">
        <w:rPr>
          <w:sz w:val="28"/>
          <w:szCs w:val="28"/>
        </w:rPr>
        <w:t xml:space="preserve"> </w:t>
      </w:r>
      <w:r w:rsidRPr="00F571FE">
        <w:rPr>
          <w:rFonts w:eastAsiaTheme="minorHAnsi"/>
          <w:sz w:val="28"/>
          <w:szCs w:val="28"/>
          <w:lang w:val="uk-UA"/>
        </w:rPr>
        <w:t>пункту 43.4 статті 43 Кодексу,</w:t>
      </w:r>
      <w:r w:rsidRPr="00F571FE">
        <w:rPr>
          <w:sz w:val="28"/>
          <w:szCs w:val="28"/>
          <w:lang w:val="uk-UA"/>
        </w:rPr>
        <w:t xml:space="preserve"> пункту 2 розділу ІІІ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11.02.2019 № 60, зареєстрованим в Міністерстві юстиції </w:t>
      </w:r>
      <w:r w:rsidRPr="00F571FE">
        <w:rPr>
          <w:sz w:val="28"/>
          <w:szCs w:val="28"/>
          <w:lang w:val="uk-UA"/>
        </w:rPr>
        <w:br/>
        <w:t xml:space="preserve">України 08.04.2019 за № 370/33341 (зі змінами), заяву </w:t>
      </w:r>
      <w:r w:rsidRPr="00F571FE">
        <w:rPr>
          <w:rFonts w:eastAsiaTheme="minorHAnsi"/>
          <w:sz w:val="28"/>
          <w:szCs w:val="28"/>
          <w:lang w:val="uk-UA"/>
        </w:rPr>
        <w:t xml:space="preserve">платник податків має подати </w:t>
      </w:r>
      <w:r w:rsidRPr="00F571FE">
        <w:rPr>
          <w:rStyle w:val="spanrvts0"/>
          <w:sz w:val="28"/>
          <w:szCs w:val="28"/>
          <w:lang w:val="uk-UA" w:eastAsia="uk"/>
        </w:rPr>
        <w:t>до територіального органу ДПС за місцем адміністрування (обліку) помилково та/або надміру сплаченої суми</w:t>
      </w:r>
      <w:r w:rsidRPr="00F571FE">
        <w:rPr>
          <w:rFonts w:eastAsiaTheme="minorHAnsi"/>
          <w:sz w:val="28"/>
          <w:szCs w:val="28"/>
          <w:lang w:val="uk-UA"/>
        </w:rPr>
        <w:t xml:space="preserve"> у довільній формі, зазначивши </w:t>
      </w:r>
      <w:r w:rsidRPr="00F571FE">
        <w:rPr>
          <w:sz w:val="28"/>
          <w:szCs w:val="28"/>
          <w:lang w:val="uk-UA"/>
        </w:rPr>
        <w:t>назву помилково та/або надміру сплаченого податку, збору, платежу, його суму, дату сплати і реквізити з платіжного документа, за якими кошти перераховано до бюджету (код класифікації доходів бюджету, бюджетний рахунок, на який перераховано кошти, код ЄДРПОУ територіального органу Казначейства, на ім’я якого відкрито рахунок), та визначає напрям перерахування помилково та/або надміру сплачених коштів.</w:t>
      </w:r>
    </w:p>
    <w:p w:rsidR="000B7EEB" w:rsidRPr="00F571FE" w:rsidRDefault="000B7EEB" w:rsidP="00F571FE">
      <w:pPr>
        <w:widowControl w:val="0"/>
        <w:autoSpaceDE w:val="0"/>
        <w:autoSpaceDN w:val="0"/>
        <w:ind w:firstLine="567"/>
        <w:jc w:val="both"/>
        <w:rPr>
          <w:rFonts w:ascii="Times New Roman" w:hAnsi="Times New Roman" w:cs="Times New Roman"/>
          <w:b w:val="0"/>
          <w:color w:val="auto"/>
          <w:sz w:val="28"/>
          <w:szCs w:val="28"/>
          <w:u w:val="none"/>
        </w:rPr>
      </w:pPr>
      <w:r w:rsidRPr="00F571FE">
        <w:rPr>
          <w:rFonts w:ascii="Times New Roman" w:hAnsi="Times New Roman" w:cs="Times New Roman"/>
          <w:b w:val="0"/>
          <w:color w:val="auto"/>
          <w:sz w:val="28"/>
          <w:szCs w:val="28"/>
          <w:u w:val="none"/>
        </w:rPr>
        <w:t>Згідно з пунктом 52.2 статті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FC5DCA" w:rsidRPr="00F571FE" w:rsidRDefault="00FC5DCA" w:rsidP="00F571FE">
      <w:pPr>
        <w:rPr>
          <w:rFonts w:ascii="Times New Roman" w:hAnsi="Times New Roman" w:cs="Times New Roman"/>
          <w:b w:val="0"/>
          <w:color w:val="auto"/>
          <w:sz w:val="28"/>
          <w:szCs w:val="28"/>
          <w:u w:val="none"/>
        </w:rPr>
      </w:pPr>
    </w:p>
    <w:p w:rsidR="00FC5DCA" w:rsidRPr="00F571FE" w:rsidRDefault="00FC5DCA" w:rsidP="00F571FE">
      <w:pPr>
        <w:rPr>
          <w:rFonts w:ascii="Times New Roman" w:hAnsi="Times New Roman" w:cs="Times New Roman"/>
          <w:b w:val="0"/>
          <w:color w:val="auto"/>
          <w:sz w:val="28"/>
          <w:szCs w:val="28"/>
          <w:u w:val="none"/>
        </w:rPr>
      </w:pPr>
    </w:p>
    <w:p w:rsidR="00C14A0A" w:rsidRPr="00C14A0A" w:rsidRDefault="00FC5DCA" w:rsidP="00F33640">
      <w:pPr>
        <w:pStyle w:val="a3"/>
        <w:spacing w:before="0" w:beforeAutospacing="0" w:after="0" w:afterAutospacing="0"/>
        <w:jc w:val="both"/>
        <w:rPr>
          <w:b/>
          <w:sz w:val="20"/>
          <w:szCs w:val="20"/>
        </w:rPr>
      </w:pPr>
      <w:bookmarkStart w:id="1" w:name="_GoBack"/>
      <w:bookmarkEnd w:id="1"/>
      <w:r w:rsidRPr="00FC5DCA">
        <w:rPr>
          <w:color w:val="000000"/>
          <w:sz w:val="16"/>
          <w:szCs w:val="16"/>
        </w:rPr>
        <w:t>.</w:t>
      </w:r>
    </w:p>
    <w:sectPr w:rsidR="00C14A0A" w:rsidRPr="00C14A0A" w:rsidSect="002B332D">
      <w:headerReference w:type="default" r:id="rId7"/>
      <w:pgSz w:w="11906" w:h="16838"/>
      <w:pgMar w:top="1134" w:right="567" w:bottom="1843" w:left="1701" w:header="709" w:footer="709" w:gutter="0"/>
      <w:cols w:space="708"/>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250" w:rsidRDefault="007A6250" w:rsidP="00C14A0A">
      <w:r>
        <w:separator/>
      </w:r>
    </w:p>
  </w:endnote>
  <w:endnote w:type="continuationSeparator" w:id="0">
    <w:p w:rsidR="007A6250" w:rsidRDefault="007A6250" w:rsidP="00C1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250" w:rsidRDefault="007A6250" w:rsidP="00C14A0A">
      <w:r>
        <w:separator/>
      </w:r>
    </w:p>
  </w:footnote>
  <w:footnote w:type="continuationSeparator" w:id="0">
    <w:p w:rsidR="007A6250" w:rsidRDefault="007A6250" w:rsidP="00C14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067927"/>
      <w:docPartObj>
        <w:docPartGallery w:val="Page Numbers (Top of Page)"/>
        <w:docPartUnique/>
      </w:docPartObj>
    </w:sdtPr>
    <w:sdtEndPr>
      <w:rPr>
        <w:rFonts w:ascii="Times New Roman" w:hAnsi="Times New Roman" w:cs="Times New Roman"/>
        <w:b w:val="0"/>
        <w:color w:val="auto"/>
        <w:sz w:val="28"/>
        <w:szCs w:val="28"/>
        <w:u w:val="none"/>
      </w:rPr>
    </w:sdtEndPr>
    <w:sdtContent>
      <w:p w:rsidR="00C14A0A" w:rsidRPr="00C14A0A" w:rsidRDefault="00C14A0A">
        <w:pPr>
          <w:pStyle w:val="a6"/>
          <w:jc w:val="center"/>
          <w:rPr>
            <w:rFonts w:ascii="Times New Roman" w:hAnsi="Times New Roman" w:cs="Times New Roman"/>
            <w:b w:val="0"/>
            <w:color w:val="auto"/>
            <w:sz w:val="28"/>
            <w:szCs w:val="28"/>
            <w:u w:val="none"/>
          </w:rPr>
        </w:pPr>
        <w:r w:rsidRPr="00C14A0A">
          <w:rPr>
            <w:rFonts w:ascii="Times New Roman" w:hAnsi="Times New Roman" w:cs="Times New Roman"/>
            <w:b w:val="0"/>
            <w:color w:val="auto"/>
            <w:sz w:val="28"/>
            <w:szCs w:val="28"/>
            <w:u w:val="none"/>
          </w:rPr>
          <w:fldChar w:fldCharType="begin"/>
        </w:r>
        <w:r w:rsidRPr="00C14A0A">
          <w:rPr>
            <w:rFonts w:ascii="Times New Roman" w:hAnsi="Times New Roman" w:cs="Times New Roman"/>
            <w:b w:val="0"/>
            <w:color w:val="auto"/>
            <w:sz w:val="28"/>
            <w:szCs w:val="28"/>
            <w:u w:val="none"/>
          </w:rPr>
          <w:instrText>PAGE   \* MERGEFORMAT</w:instrText>
        </w:r>
        <w:r w:rsidRPr="00C14A0A">
          <w:rPr>
            <w:rFonts w:ascii="Times New Roman" w:hAnsi="Times New Roman" w:cs="Times New Roman"/>
            <w:b w:val="0"/>
            <w:color w:val="auto"/>
            <w:sz w:val="28"/>
            <w:szCs w:val="28"/>
            <w:u w:val="none"/>
          </w:rPr>
          <w:fldChar w:fldCharType="separate"/>
        </w:r>
        <w:r w:rsidR="00E603BE" w:rsidRPr="00E603BE">
          <w:rPr>
            <w:rFonts w:ascii="Times New Roman" w:hAnsi="Times New Roman" w:cs="Times New Roman"/>
            <w:b w:val="0"/>
            <w:noProof/>
            <w:color w:val="auto"/>
            <w:sz w:val="28"/>
            <w:szCs w:val="28"/>
            <w:u w:val="none"/>
            <w:lang w:val="ru-RU"/>
          </w:rPr>
          <w:t>3</w:t>
        </w:r>
        <w:r w:rsidRPr="00C14A0A">
          <w:rPr>
            <w:rFonts w:ascii="Times New Roman" w:hAnsi="Times New Roman" w:cs="Times New Roman"/>
            <w:b w:val="0"/>
            <w:color w:val="auto"/>
            <w:sz w:val="28"/>
            <w:szCs w:val="28"/>
            <w:u w:val="none"/>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5F7"/>
    <w:multiLevelType w:val="singleLevel"/>
    <w:tmpl w:val="2FC77C9B"/>
    <w:lvl w:ilvl="0">
      <w:start w:val="1"/>
      <w:numFmt w:val="decimal"/>
      <w:lvlText w:val="%1."/>
      <w:lvlJc w:val="left"/>
      <w:pPr>
        <w:tabs>
          <w:tab w:val="num" w:pos="1080"/>
        </w:tabs>
        <w:ind w:left="1080" w:hanging="360"/>
      </w:pPr>
      <w:rPr>
        <w:snapToGrid/>
        <w:sz w:val="28"/>
        <w:szCs w:val="28"/>
      </w:rPr>
    </w:lvl>
  </w:abstractNum>
  <w:abstractNum w:abstractNumId="1" w15:restartNumberingAfterBreak="0">
    <w:nsid w:val="192B376D"/>
    <w:multiLevelType w:val="hybridMultilevel"/>
    <w:tmpl w:val="FECEE1FE"/>
    <w:lvl w:ilvl="0" w:tplc="9834A3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557F27FE"/>
    <w:multiLevelType w:val="hybridMultilevel"/>
    <w:tmpl w:val="95B252E4"/>
    <w:lvl w:ilvl="0" w:tplc="D5F6C094">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61DB6299"/>
    <w:multiLevelType w:val="multilevel"/>
    <w:tmpl w:val="A658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610FB9"/>
    <w:multiLevelType w:val="hybridMultilevel"/>
    <w:tmpl w:val="7C9C00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BCC0EB5"/>
    <w:multiLevelType w:val="hybridMultilevel"/>
    <w:tmpl w:val="C78023A4"/>
    <w:lvl w:ilvl="0" w:tplc="B4247EF4">
      <w:start w:val="1"/>
      <w:numFmt w:val="decimal"/>
      <w:lvlText w:val="%1."/>
      <w:lvlJc w:val="left"/>
      <w:pPr>
        <w:ind w:left="567" w:firstLine="0"/>
      </w:pPr>
      <w:rPr>
        <w:rFonts w:hint="default"/>
      </w:rPr>
    </w:lvl>
    <w:lvl w:ilvl="1" w:tplc="04220019" w:tentative="1">
      <w:start w:val="1"/>
      <w:numFmt w:val="lowerLetter"/>
      <w:lvlText w:val="%2."/>
      <w:lvlJc w:val="left"/>
      <w:pPr>
        <w:ind w:left="4767" w:hanging="360"/>
      </w:pPr>
    </w:lvl>
    <w:lvl w:ilvl="2" w:tplc="0422001B" w:tentative="1">
      <w:start w:val="1"/>
      <w:numFmt w:val="lowerRoman"/>
      <w:lvlText w:val="%3."/>
      <w:lvlJc w:val="right"/>
      <w:pPr>
        <w:ind w:left="5487" w:hanging="180"/>
      </w:pPr>
    </w:lvl>
    <w:lvl w:ilvl="3" w:tplc="0422000F" w:tentative="1">
      <w:start w:val="1"/>
      <w:numFmt w:val="decimal"/>
      <w:lvlText w:val="%4."/>
      <w:lvlJc w:val="left"/>
      <w:pPr>
        <w:ind w:left="6207" w:hanging="360"/>
      </w:pPr>
    </w:lvl>
    <w:lvl w:ilvl="4" w:tplc="04220019" w:tentative="1">
      <w:start w:val="1"/>
      <w:numFmt w:val="lowerLetter"/>
      <w:lvlText w:val="%5."/>
      <w:lvlJc w:val="left"/>
      <w:pPr>
        <w:ind w:left="6927" w:hanging="360"/>
      </w:pPr>
    </w:lvl>
    <w:lvl w:ilvl="5" w:tplc="0422001B" w:tentative="1">
      <w:start w:val="1"/>
      <w:numFmt w:val="lowerRoman"/>
      <w:lvlText w:val="%6."/>
      <w:lvlJc w:val="right"/>
      <w:pPr>
        <w:ind w:left="7647" w:hanging="180"/>
      </w:pPr>
    </w:lvl>
    <w:lvl w:ilvl="6" w:tplc="0422000F" w:tentative="1">
      <w:start w:val="1"/>
      <w:numFmt w:val="decimal"/>
      <w:lvlText w:val="%7."/>
      <w:lvlJc w:val="left"/>
      <w:pPr>
        <w:ind w:left="8367" w:hanging="360"/>
      </w:pPr>
    </w:lvl>
    <w:lvl w:ilvl="7" w:tplc="04220019" w:tentative="1">
      <w:start w:val="1"/>
      <w:numFmt w:val="lowerLetter"/>
      <w:lvlText w:val="%8."/>
      <w:lvlJc w:val="left"/>
      <w:pPr>
        <w:ind w:left="9087" w:hanging="360"/>
      </w:pPr>
    </w:lvl>
    <w:lvl w:ilvl="8" w:tplc="0422001B" w:tentative="1">
      <w:start w:val="1"/>
      <w:numFmt w:val="lowerRoman"/>
      <w:lvlText w:val="%9."/>
      <w:lvlJc w:val="right"/>
      <w:pPr>
        <w:ind w:left="9807" w:hanging="18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DA9"/>
    <w:rsid w:val="00016A18"/>
    <w:rsid w:val="00021F8B"/>
    <w:rsid w:val="0003241A"/>
    <w:rsid w:val="00034C0D"/>
    <w:rsid w:val="00035961"/>
    <w:rsid w:val="00055047"/>
    <w:rsid w:val="00084FD5"/>
    <w:rsid w:val="00090EEA"/>
    <w:rsid w:val="0009351F"/>
    <w:rsid w:val="000B6E91"/>
    <w:rsid w:val="000B7EEB"/>
    <w:rsid w:val="000C0B3B"/>
    <w:rsid w:val="000D081B"/>
    <w:rsid w:val="00106305"/>
    <w:rsid w:val="00111CD2"/>
    <w:rsid w:val="00121F15"/>
    <w:rsid w:val="00136960"/>
    <w:rsid w:val="00151E57"/>
    <w:rsid w:val="00155FF1"/>
    <w:rsid w:val="001645C6"/>
    <w:rsid w:val="00176A27"/>
    <w:rsid w:val="001A3E51"/>
    <w:rsid w:val="001A6562"/>
    <w:rsid w:val="001A7E28"/>
    <w:rsid w:val="001B46B4"/>
    <w:rsid w:val="001C7006"/>
    <w:rsid w:val="001E2C95"/>
    <w:rsid w:val="00203425"/>
    <w:rsid w:val="002062E1"/>
    <w:rsid w:val="00224DB1"/>
    <w:rsid w:val="002411E3"/>
    <w:rsid w:val="002A0096"/>
    <w:rsid w:val="002B2F57"/>
    <w:rsid w:val="002B332D"/>
    <w:rsid w:val="002D3BB4"/>
    <w:rsid w:val="002F6AAF"/>
    <w:rsid w:val="0030266A"/>
    <w:rsid w:val="00386DED"/>
    <w:rsid w:val="003C7744"/>
    <w:rsid w:val="003D5D58"/>
    <w:rsid w:val="00413F26"/>
    <w:rsid w:val="0042762A"/>
    <w:rsid w:val="00444ED4"/>
    <w:rsid w:val="00461476"/>
    <w:rsid w:val="00472DE4"/>
    <w:rsid w:val="004A08DF"/>
    <w:rsid w:val="004A1770"/>
    <w:rsid w:val="004B2267"/>
    <w:rsid w:val="004D6C00"/>
    <w:rsid w:val="004E10AC"/>
    <w:rsid w:val="00520780"/>
    <w:rsid w:val="005354F9"/>
    <w:rsid w:val="00540DA9"/>
    <w:rsid w:val="00550D72"/>
    <w:rsid w:val="005756FC"/>
    <w:rsid w:val="00595EED"/>
    <w:rsid w:val="005B2654"/>
    <w:rsid w:val="005B4EC1"/>
    <w:rsid w:val="005E2C4E"/>
    <w:rsid w:val="005E6884"/>
    <w:rsid w:val="005F217A"/>
    <w:rsid w:val="00604300"/>
    <w:rsid w:val="006322D8"/>
    <w:rsid w:val="006470FD"/>
    <w:rsid w:val="006534A0"/>
    <w:rsid w:val="00662F55"/>
    <w:rsid w:val="00677AAE"/>
    <w:rsid w:val="006E1048"/>
    <w:rsid w:val="006E29EA"/>
    <w:rsid w:val="0071412B"/>
    <w:rsid w:val="00716CB6"/>
    <w:rsid w:val="00757B4F"/>
    <w:rsid w:val="007650DE"/>
    <w:rsid w:val="007726F6"/>
    <w:rsid w:val="00775B60"/>
    <w:rsid w:val="007A370D"/>
    <w:rsid w:val="007A6250"/>
    <w:rsid w:val="007B4415"/>
    <w:rsid w:val="007C2D49"/>
    <w:rsid w:val="007E02A2"/>
    <w:rsid w:val="007E19ED"/>
    <w:rsid w:val="00812852"/>
    <w:rsid w:val="00827E83"/>
    <w:rsid w:val="00830D08"/>
    <w:rsid w:val="00831095"/>
    <w:rsid w:val="008339F0"/>
    <w:rsid w:val="008343EA"/>
    <w:rsid w:val="008369EA"/>
    <w:rsid w:val="00845A4F"/>
    <w:rsid w:val="00851B43"/>
    <w:rsid w:val="00875335"/>
    <w:rsid w:val="00877DD5"/>
    <w:rsid w:val="0088272D"/>
    <w:rsid w:val="008924BB"/>
    <w:rsid w:val="008B378B"/>
    <w:rsid w:val="008E5E51"/>
    <w:rsid w:val="008F25D7"/>
    <w:rsid w:val="009376AB"/>
    <w:rsid w:val="009550E5"/>
    <w:rsid w:val="009835C2"/>
    <w:rsid w:val="009C2778"/>
    <w:rsid w:val="009D55D6"/>
    <w:rsid w:val="009E4E00"/>
    <w:rsid w:val="009E7287"/>
    <w:rsid w:val="00A01F0F"/>
    <w:rsid w:val="00A14064"/>
    <w:rsid w:val="00A161CF"/>
    <w:rsid w:val="00A16A47"/>
    <w:rsid w:val="00A51513"/>
    <w:rsid w:val="00A61779"/>
    <w:rsid w:val="00A83D77"/>
    <w:rsid w:val="00A966E7"/>
    <w:rsid w:val="00AB406C"/>
    <w:rsid w:val="00AB7A1A"/>
    <w:rsid w:val="00AC117F"/>
    <w:rsid w:val="00AE2B20"/>
    <w:rsid w:val="00AF4D56"/>
    <w:rsid w:val="00AF71AD"/>
    <w:rsid w:val="00B0426A"/>
    <w:rsid w:val="00B05772"/>
    <w:rsid w:val="00B775D8"/>
    <w:rsid w:val="00B828F5"/>
    <w:rsid w:val="00BA4733"/>
    <w:rsid w:val="00BA5116"/>
    <w:rsid w:val="00BB33E3"/>
    <w:rsid w:val="00BC5224"/>
    <w:rsid w:val="00BD46FC"/>
    <w:rsid w:val="00C03D0B"/>
    <w:rsid w:val="00C107F2"/>
    <w:rsid w:val="00C14A0A"/>
    <w:rsid w:val="00C601FE"/>
    <w:rsid w:val="00C76E1E"/>
    <w:rsid w:val="00C819B9"/>
    <w:rsid w:val="00C94354"/>
    <w:rsid w:val="00C9501D"/>
    <w:rsid w:val="00CB1BB1"/>
    <w:rsid w:val="00CB3988"/>
    <w:rsid w:val="00CC2519"/>
    <w:rsid w:val="00CC5B74"/>
    <w:rsid w:val="00CD6837"/>
    <w:rsid w:val="00D00A7E"/>
    <w:rsid w:val="00D05BD4"/>
    <w:rsid w:val="00D17A3E"/>
    <w:rsid w:val="00D54D16"/>
    <w:rsid w:val="00D7477E"/>
    <w:rsid w:val="00D75B71"/>
    <w:rsid w:val="00D82EAE"/>
    <w:rsid w:val="00DE46A4"/>
    <w:rsid w:val="00DF0B61"/>
    <w:rsid w:val="00E33792"/>
    <w:rsid w:val="00E33B8F"/>
    <w:rsid w:val="00E4034E"/>
    <w:rsid w:val="00E603BE"/>
    <w:rsid w:val="00E64060"/>
    <w:rsid w:val="00E725E4"/>
    <w:rsid w:val="00E8456F"/>
    <w:rsid w:val="00EC25F6"/>
    <w:rsid w:val="00F244E6"/>
    <w:rsid w:val="00F33640"/>
    <w:rsid w:val="00F47C97"/>
    <w:rsid w:val="00F571FE"/>
    <w:rsid w:val="00F658B0"/>
    <w:rsid w:val="00FC5DCA"/>
    <w:rsid w:val="00FC74FB"/>
    <w:rsid w:val="00FF32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DC6A"/>
  <w15:docId w15:val="{8A7BDC40-59DA-41D9-9B2D-62DB5064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0DA9"/>
    <w:pPr>
      <w:spacing w:after="0" w:line="240" w:lineRule="auto"/>
    </w:pPr>
    <w:rPr>
      <w:rFonts w:ascii="Arial" w:hAnsi="Arial" w:cs="Arial"/>
      <w:b/>
      <w:bCs/>
      <w:color w:val="0000FF"/>
      <w:kern w:val="32"/>
      <w:sz w:val="32"/>
      <w:szCs w:val="32"/>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З"/>
    <w:basedOn w:val="a"/>
    <w:link w:val="a4"/>
    <w:uiPriority w:val="99"/>
    <w:qFormat/>
    <w:rsid w:val="009835C2"/>
    <w:pPr>
      <w:spacing w:before="100" w:beforeAutospacing="1" w:after="100" w:afterAutospacing="1"/>
    </w:pPr>
    <w:rPr>
      <w:rFonts w:ascii="Times New Roman" w:eastAsia="Times New Roman" w:hAnsi="Times New Roman" w:cs="Times New Roman"/>
      <w:b w:val="0"/>
      <w:bCs w:val="0"/>
      <w:color w:val="auto"/>
      <w:kern w:val="0"/>
      <w:sz w:val="24"/>
      <w:szCs w:val="24"/>
      <w:u w:val="none"/>
      <w:lang w:val="ru-RU"/>
    </w:rPr>
  </w:style>
  <w:style w:type="character" w:customStyle="1" w:styleId="a4">
    <w:name w:val="Звичайний (веб)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rsid w:val="009835C2"/>
    <w:rPr>
      <w:rFonts w:ascii="Times New Roman" w:eastAsia="Times New Roman" w:hAnsi="Times New Roman" w:cs="Times New Roman"/>
      <w:sz w:val="24"/>
      <w:szCs w:val="24"/>
      <w:lang w:val="ru-RU" w:eastAsia="ru-RU"/>
    </w:rPr>
  </w:style>
  <w:style w:type="character" w:styleId="a5">
    <w:name w:val="Hyperlink"/>
    <w:basedOn w:val="a0"/>
    <w:uiPriority w:val="99"/>
    <w:unhideWhenUsed/>
    <w:rsid w:val="00084FD5"/>
    <w:rPr>
      <w:color w:val="0000FF" w:themeColor="hyperlink"/>
      <w:u w:val="single"/>
    </w:rPr>
  </w:style>
  <w:style w:type="paragraph" w:styleId="a6">
    <w:name w:val="header"/>
    <w:basedOn w:val="a"/>
    <w:link w:val="a7"/>
    <w:uiPriority w:val="99"/>
    <w:unhideWhenUsed/>
    <w:rsid w:val="00C14A0A"/>
    <w:pPr>
      <w:tabs>
        <w:tab w:val="center" w:pos="4819"/>
        <w:tab w:val="right" w:pos="9639"/>
      </w:tabs>
    </w:pPr>
  </w:style>
  <w:style w:type="character" w:customStyle="1" w:styleId="a7">
    <w:name w:val="Верхній колонтитул Знак"/>
    <w:basedOn w:val="a0"/>
    <w:link w:val="a6"/>
    <w:uiPriority w:val="99"/>
    <w:rsid w:val="00C14A0A"/>
    <w:rPr>
      <w:rFonts w:ascii="Arial" w:hAnsi="Arial" w:cs="Arial"/>
      <w:b/>
      <w:bCs/>
      <w:color w:val="0000FF"/>
      <w:kern w:val="32"/>
      <w:sz w:val="32"/>
      <w:szCs w:val="32"/>
      <w:u w:val="single"/>
      <w:lang w:eastAsia="ru-RU"/>
    </w:rPr>
  </w:style>
  <w:style w:type="paragraph" w:styleId="a8">
    <w:name w:val="footer"/>
    <w:basedOn w:val="a"/>
    <w:link w:val="a9"/>
    <w:uiPriority w:val="99"/>
    <w:unhideWhenUsed/>
    <w:rsid w:val="00C14A0A"/>
    <w:pPr>
      <w:tabs>
        <w:tab w:val="center" w:pos="4819"/>
        <w:tab w:val="right" w:pos="9639"/>
      </w:tabs>
    </w:pPr>
  </w:style>
  <w:style w:type="character" w:customStyle="1" w:styleId="a9">
    <w:name w:val="Нижній колонтитул Знак"/>
    <w:basedOn w:val="a0"/>
    <w:link w:val="a8"/>
    <w:uiPriority w:val="99"/>
    <w:rsid w:val="00C14A0A"/>
    <w:rPr>
      <w:rFonts w:ascii="Arial" w:hAnsi="Arial" w:cs="Arial"/>
      <w:b/>
      <w:bCs/>
      <w:color w:val="0000FF"/>
      <w:kern w:val="32"/>
      <w:sz w:val="32"/>
      <w:szCs w:val="32"/>
      <w:u w:val="single"/>
      <w:lang w:eastAsia="ru-RU"/>
    </w:rPr>
  </w:style>
  <w:style w:type="character" w:customStyle="1" w:styleId="name">
    <w:name w:val="name"/>
    <w:basedOn w:val="a0"/>
    <w:rsid w:val="00A14064"/>
  </w:style>
  <w:style w:type="character" w:styleId="aa">
    <w:name w:val="Strong"/>
    <w:basedOn w:val="a0"/>
    <w:uiPriority w:val="22"/>
    <w:qFormat/>
    <w:rsid w:val="00A14064"/>
    <w:rPr>
      <w:b/>
      <w:bCs/>
    </w:rPr>
  </w:style>
  <w:style w:type="character" w:styleId="ab">
    <w:name w:val="Emphasis"/>
    <w:basedOn w:val="a0"/>
    <w:uiPriority w:val="20"/>
    <w:qFormat/>
    <w:rsid w:val="00A14064"/>
    <w:rPr>
      <w:i/>
      <w:iCs/>
    </w:rPr>
  </w:style>
  <w:style w:type="paragraph" w:styleId="ac">
    <w:name w:val="Balloon Text"/>
    <w:basedOn w:val="a"/>
    <w:link w:val="ad"/>
    <w:uiPriority w:val="99"/>
    <w:semiHidden/>
    <w:unhideWhenUsed/>
    <w:rsid w:val="00851B43"/>
    <w:rPr>
      <w:rFonts w:ascii="Tahoma" w:hAnsi="Tahoma" w:cs="Tahoma"/>
      <w:sz w:val="16"/>
      <w:szCs w:val="16"/>
    </w:rPr>
  </w:style>
  <w:style w:type="character" w:customStyle="1" w:styleId="ad">
    <w:name w:val="Текст у виносці Знак"/>
    <w:basedOn w:val="a0"/>
    <w:link w:val="ac"/>
    <w:uiPriority w:val="99"/>
    <w:semiHidden/>
    <w:rsid w:val="00851B43"/>
    <w:rPr>
      <w:rFonts w:ascii="Tahoma" w:hAnsi="Tahoma" w:cs="Tahoma"/>
      <w:b/>
      <w:bCs/>
      <w:color w:val="0000FF"/>
      <w:kern w:val="32"/>
      <w:sz w:val="16"/>
      <w:szCs w:val="16"/>
      <w:u w:val="single"/>
      <w:lang w:eastAsia="ru-RU"/>
    </w:rPr>
  </w:style>
  <w:style w:type="paragraph" w:styleId="ae">
    <w:name w:val="List Paragraph"/>
    <w:basedOn w:val="a"/>
    <w:uiPriority w:val="34"/>
    <w:qFormat/>
    <w:rsid w:val="003C7744"/>
    <w:pPr>
      <w:ind w:left="720"/>
      <w:contextualSpacing/>
    </w:pPr>
    <w:rPr>
      <w:rFonts w:ascii="Times New Roman" w:eastAsia="Times New Roman" w:hAnsi="Times New Roman" w:cs="Times New Roman"/>
      <w:b w:val="0"/>
      <w:bCs w:val="0"/>
      <w:color w:val="auto"/>
      <w:kern w:val="0"/>
      <w:sz w:val="24"/>
      <w:szCs w:val="24"/>
      <w:u w:val="none"/>
      <w:lang w:val="ru-RU"/>
    </w:rPr>
  </w:style>
  <w:style w:type="paragraph" w:styleId="af">
    <w:name w:val="No Spacing"/>
    <w:link w:val="af0"/>
    <w:qFormat/>
    <w:rsid w:val="00FC5DCA"/>
    <w:pPr>
      <w:spacing w:after="0" w:line="240" w:lineRule="auto"/>
    </w:pPr>
    <w:rPr>
      <w:rFonts w:ascii="Times New Roman" w:eastAsia="Calibri" w:hAnsi="Times New Roman" w:cs="Times New Roman"/>
      <w:sz w:val="28"/>
      <w:lang w:val="ru-RU"/>
    </w:rPr>
  </w:style>
  <w:style w:type="character" w:customStyle="1" w:styleId="af0">
    <w:name w:val="Без інтервалів Знак"/>
    <w:link w:val="af"/>
    <w:rsid w:val="00FC5DCA"/>
    <w:rPr>
      <w:rFonts w:ascii="Times New Roman" w:eastAsia="Calibri" w:hAnsi="Times New Roman" w:cs="Times New Roman"/>
      <w:sz w:val="28"/>
      <w:lang w:val="ru-RU"/>
    </w:rPr>
  </w:style>
  <w:style w:type="character" w:customStyle="1" w:styleId="1">
    <w:name w:val="Незакрита згадка1"/>
    <w:basedOn w:val="a0"/>
    <w:uiPriority w:val="99"/>
    <w:semiHidden/>
    <w:unhideWhenUsed/>
    <w:rsid w:val="00BA4733"/>
    <w:rPr>
      <w:color w:val="605E5C"/>
      <w:shd w:val="clear" w:color="auto" w:fill="E1DFDD"/>
    </w:rPr>
  </w:style>
  <w:style w:type="character" w:customStyle="1" w:styleId="af1">
    <w:name w:val="Основной текст_"/>
    <w:basedOn w:val="a0"/>
    <w:link w:val="10"/>
    <w:rsid w:val="00BA4733"/>
    <w:rPr>
      <w:rFonts w:ascii="Tahoma" w:eastAsia="Tahoma" w:hAnsi="Tahoma" w:cs="Tahoma"/>
    </w:rPr>
  </w:style>
  <w:style w:type="paragraph" w:customStyle="1" w:styleId="10">
    <w:name w:val="Основной текст1"/>
    <w:basedOn w:val="a"/>
    <w:link w:val="af1"/>
    <w:rsid w:val="00BA4733"/>
    <w:pPr>
      <w:widowControl w:val="0"/>
      <w:spacing w:after="180"/>
    </w:pPr>
    <w:rPr>
      <w:rFonts w:ascii="Tahoma" w:eastAsia="Tahoma" w:hAnsi="Tahoma" w:cs="Tahoma"/>
      <w:b w:val="0"/>
      <w:bCs w:val="0"/>
      <w:color w:val="auto"/>
      <w:kern w:val="0"/>
      <w:sz w:val="22"/>
      <w:szCs w:val="22"/>
      <w:u w:val="none"/>
      <w:lang w:eastAsia="en-US"/>
    </w:rPr>
  </w:style>
  <w:style w:type="character" w:customStyle="1" w:styleId="2">
    <w:name w:val="Незакрита згадка2"/>
    <w:basedOn w:val="a0"/>
    <w:uiPriority w:val="99"/>
    <w:semiHidden/>
    <w:unhideWhenUsed/>
    <w:rsid w:val="00055047"/>
    <w:rPr>
      <w:color w:val="605E5C"/>
      <w:shd w:val="clear" w:color="auto" w:fill="E1DFDD"/>
    </w:rPr>
  </w:style>
  <w:style w:type="character" w:customStyle="1" w:styleId="spanrvts0">
    <w:name w:val="span_rvts0"/>
    <w:basedOn w:val="a0"/>
    <w:rsid w:val="00F571FE"/>
    <w:rPr>
      <w:rFonts w:ascii="Times New Roman" w:eastAsia="Times New Roman" w:hAnsi="Times New Roman" w:cs="Times New Roman"/>
      <w:b w:val="0"/>
      <w:bCs w:val="0"/>
      <w:i w:val="0"/>
      <w:iCs w:val="0"/>
      <w:sz w:val="24"/>
      <w:szCs w:val="24"/>
    </w:rPr>
  </w:style>
  <w:style w:type="paragraph" w:customStyle="1" w:styleId="rvps2">
    <w:name w:val="rvps2"/>
    <w:basedOn w:val="a"/>
    <w:rsid w:val="00F571FE"/>
    <w:pPr>
      <w:ind w:firstLine="450"/>
      <w:jc w:val="both"/>
    </w:pPr>
    <w:rPr>
      <w:rFonts w:ascii="Times New Roman" w:eastAsia="Times New Roman" w:hAnsi="Times New Roman" w:cs="Times New Roman"/>
      <w:b w:val="0"/>
      <w:bCs w:val="0"/>
      <w:color w:val="auto"/>
      <w:kern w:val="0"/>
      <w:sz w:val="24"/>
      <w:szCs w:val="24"/>
      <w:u w:val="none"/>
      <w:lang w:val="en-US" w:eastAsia="en-US"/>
    </w:rPr>
  </w:style>
  <w:style w:type="character" w:customStyle="1" w:styleId="spanrvts9">
    <w:name w:val="span_rvts9"/>
    <w:basedOn w:val="a0"/>
    <w:rsid w:val="00F571FE"/>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79875">
      <w:bodyDiv w:val="1"/>
      <w:marLeft w:val="0"/>
      <w:marRight w:val="0"/>
      <w:marTop w:val="0"/>
      <w:marBottom w:val="0"/>
      <w:divBdr>
        <w:top w:val="none" w:sz="0" w:space="0" w:color="auto"/>
        <w:left w:val="none" w:sz="0" w:space="0" w:color="auto"/>
        <w:bottom w:val="none" w:sz="0" w:space="0" w:color="auto"/>
        <w:right w:val="none" w:sz="0" w:space="0" w:color="auto"/>
      </w:divBdr>
    </w:div>
    <w:div w:id="261882565">
      <w:bodyDiv w:val="1"/>
      <w:marLeft w:val="0"/>
      <w:marRight w:val="0"/>
      <w:marTop w:val="0"/>
      <w:marBottom w:val="0"/>
      <w:divBdr>
        <w:top w:val="none" w:sz="0" w:space="0" w:color="auto"/>
        <w:left w:val="none" w:sz="0" w:space="0" w:color="auto"/>
        <w:bottom w:val="none" w:sz="0" w:space="0" w:color="auto"/>
        <w:right w:val="none" w:sz="0" w:space="0" w:color="auto"/>
      </w:divBdr>
    </w:div>
    <w:div w:id="46854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5102</Words>
  <Characters>2909</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НЕВГАД ЛЮДМИЛА ФЕДОРІВНА</dc:creator>
  <cp:lastModifiedBy>ТЕСЛЕНКО ТЕТЯНА АНАТОЛІЇВНА</cp:lastModifiedBy>
  <cp:revision>3</cp:revision>
  <cp:lastPrinted>2025-07-31T11:51:00Z</cp:lastPrinted>
  <dcterms:created xsi:type="dcterms:W3CDTF">2025-09-04T07:24:00Z</dcterms:created>
  <dcterms:modified xsi:type="dcterms:W3CDTF">2025-09-04T07:26:00Z</dcterms:modified>
</cp:coreProperties>
</file>