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EDB" w:rsidRPr="00B609AA" w:rsidRDefault="00ED4EDB" w:rsidP="00ED4EDB">
      <w:pPr>
        <w:spacing w:line="228" w:lineRule="auto"/>
        <w:ind w:firstLine="5400"/>
        <w:jc w:val="both"/>
        <w:rPr>
          <w:sz w:val="28"/>
          <w:szCs w:val="28"/>
          <w:lang w:val="en-US"/>
        </w:rPr>
      </w:pPr>
    </w:p>
    <w:p w:rsidR="00ED4EDB" w:rsidRDefault="00ED4EDB" w:rsidP="00ED4EDB">
      <w:pPr>
        <w:spacing w:line="228" w:lineRule="auto"/>
        <w:ind w:firstLine="5400"/>
        <w:jc w:val="both"/>
        <w:rPr>
          <w:sz w:val="28"/>
          <w:szCs w:val="28"/>
          <w:lang w:val="uk-UA"/>
        </w:rPr>
      </w:pPr>
    </w:p>
    <w:p w:rsidR="00720D6D" w:rsidRDefault="00720D6D" w:rsidP="00ED4EDB">
      <w:pPr>
        <w:spacing w:line="228" w:lineRule="auto"/>
        <w:ind w:firstLine="5400"/>
        <w:jc w:val="both"/>
        <w:rPr>
          <w:sz w:val="28"/>
          <w:szCs w:val="28"/>
          <w:lang w:val="uk-UA"/>
        </w:rPr>
      </w:pPr>
    </w:p>
    <w:p w:rsidR="00720D6D" w:rsidRDefault="00720D6D" w:rsidP="00ED4EDB">
      <w:pPr>
        <w:spacing w:line="228" w:lineRule="auto"/>
        <w:ind w:firstLine="5400"/>
        <w:jc w:val="both"/>
        <w:rPr>
          <w:sz w:val="28"/>
          <w:szCs w:val="28"/>
          <w:lang w:val="uk-UA"/>
        </w:rPr>
      </w:pPr>
    </w:p>
    <w:p w:rsidR="00720D6D" w:rsidRDefault="00720D6D" w:rsidP="00ED4EDB">
      <w:pPr>
        <w:spacing w:line="228" w:lineRule="auto"/>
        <w:ind w:firstLine="5400"/>
        <w:jc w:val="both"/>
        <w:rPr>
          <w:sz w:val="28"/>
          <w:szCs w:val="28"/>
          <w:lang w:val="uk-UA"/>
        </w:rPr>
      </w:pPr>
    </w:p>
    <w:p w:rsidR="00AF4B68" w:rsidRPr="005C3673" w:rsidRDefault="005C3673" w:rsidP="005C3673">
      <w:pPr>
        <w:spacing w:line="228" w:lineRule="auto"/>
        <w:rPr>
          <w:b/>
          <w:sz w:val="32"/>
          <w:szCs w:val="32"/>
          <w:lang w:val="uk-UA"/>
        </w:rPr>
      </w:pPr>
      <w:r w:rsidRPr="005C3673">
        <w:rPr>
          <w:b/>
          <w:sz w:val="32"/>
          <w:szCs w:val="32"/>
          <w:lang w:val="uk-UA"/>
        </w:rPr>
        <w:t>Державна податкова служба України</w:t>
      </w:r>
    </w:p>
    <w:p w:rsidR="005C3673" w:rsidRPr="005C3673" w:rsidRDefault="005C3673" w:rsidP="005C3673">
      <w:pPr>
        <w:rPr>
          <w:b/>
          <w:sz w:val="32"/>
          <w:szCs w:val="32"/>
          <w:lang w:val="uk-UA"/>
        </w:rPr>
      </w:pPr>
      <w:r w:rsidRPr="005C3673">
        <w:rPr>
          <w:b/>
          <w:sz w:val="32"/>
          <w:szCs w:val="32"/>
          <w:lang w:val="uk-UA"/>
        </w:rPr>
        <w:t xml:space="preserve">ІПК </w:t>
      </w:r>
      <w:r>
        <w:rPr>
          <w:b/>
          <w:sz w:val="32"/>
          <w:szCs w:val="32"/>
          <w:lang w:val="uk-UA"/>
        </w:rPr>
        <w:t xml:space="preserve">від 11.05.2026 р. </w:t>
      </w:r>
      <w:r w:rsidRPr="005C3673">
        <w:rPr>
          <w:b/>
          <w:sz w:val="32"/>
          <w:szCs w:val="32"/>
          <w:lang w:val="uk-UA"/>
        </w:rPr>
        <w:t>№2686/ІПК/99-00-24-03-03</w:t>
      </w:r>
    </w:p>
    <w:p w:rsidR="00F21A6C" w:rsidRDefault="00F21A6C" w:rsidP="008A11B7">
      <w:pPr>
        <w:jc w:val="center"/>
        <w:rPr>
          <w:bCs/>
          <w:sz w:val="28"/>
          <w:szCs w:val="28"/>
          <w:lang w:val="uk-UA"/>
        </w:rPr>
      </w:pPr>
    </w:p>
    <w:p w:rsidR="0027787F" w:rsidRPr="00864C61" w:rsidRDefault="0016419B" w:rsidP="00C8563F">
      <w:pPr>
        <w:shd w:val="clear" w:color="auto" w:fill="FFFFFF"/>
        <w:suppressAutoHyphens/>
        <w:ind w:firstLine="567"/>
        <w:jc w:val="both"/>
        <w:textAlignment w:val="baseline"/>
        <w:rPr>
          <w:sz w:val="28"/>
          <w:szCs w:val="28"/>
          <w:lang w:val="uk-UA"/>
        </w:rPr>
      </w:pPr>
      <w:r w:rsidRPr="00E872BA">
        <w:rPr>
          <w:sz w:val="28"/>
          <w:szCs w:val="28"/>
          <w:lang w:val="uk-UA"/>
        </w:rPr>
        <w:t>Держа</w:t>
      </w:r>
      <w:bookmarkStart w:id="0" w:name="_GoBack"/>
      <w:bookmarkEnd w:id="0"/>
      <w:r w:rsidRPr="00E872BA">
        <w:rPr>
          <w:sz w:val="28"/>
          <w:szCs w:val="28"/>
          <w:lang w:val="uk-UA"/>
        </w:rPr>
        <w:t>вна податкова служба України</w:t>
      </w:r>
      <w:r w:rsidR="004270D4" w:rsidRPr="004270D4">
        <w:rPr>
          <w:rStyle w:val="1"/>
          <w:sz w:val="28"/>
        </w:rPr>
        <w:t xml:space="preserve"> </w:t>
      </w:r>
      <w:r w:rsidR="004270D4" w:rsidRPr="004270D4">
        <w:rPr>
          <w:rStyle w:val="16"/>
          <w:rFonts w:ascii="Times New Roman" w:hAnsi="Times New Roman"/>
          <w:sz w:val="28"/>
        </w:rPr>
        <w:t>керуючись ст. 52 Податкового кодексу України (далі – Кодекс)</w:t>
      </w:r>
      <w:r w:rsidRPr="00E872BA">
        <w:rPr>
          <w:sz w:val="28"/>
          <w:szCs w:val="28"/>
          <w:lang w:val="uk-UA"/>
        </w:rPr>
        <w:t xml:space="preserve"> </w:t>
      </w:r>
      <w:r w:rsidR="006B0BFF" w:rsidRPr="00E872BA">
        <w:rPr>
          <w:sz w:val="28"/>
          <w:szCs w:val="28"/>
          <w:lang w:val="uk-UA"/>
        </w:rPr>
        <w:t>розглянула звернення</w:t>
      </w:r>
      <w:r w:rsidR="004270D4">
        <w:rPr>
          <w:sz w:val="28"/>
          <w:szCs w:val="28"/>
          <w:lang w:val="uk-UA"/>
        </w:rPr>
        <w:t xml:space="preserve"> </w:t>
      </w:r>
      <w:r w:rsidR="00F119C2">
        <w:rPr>
          <w:sz w:val="28"/>
          <w:szCs w:val="28"/>
          <w:lang w:val="uk-UA"/>
        </w:rPr>
        <w:t xml:space="preserve">(    </w:t>
      </w:r>
      <w:r w:rsidR="00470F74" w:rsidRPr="00470F74">
        <w:rPr>
          <w:sz w:val="28"/>
          <w:szCs w:val="28"/>
          <w:lang w:val="uk-UA" w:eastAsia="ar-SA"/>
        </w:rPr>
        <w:t xml:space="preserve">) </w:t>
      </w:r>
      <w:r w:rsidR="00864C61" w:rsidRPr="00864C61">
        <w:rPr>
          <w:sz w:val="28"/>
          <w:szCs w:val="28"/>
          <w:lang w:val="uk-UA"/>
        </w:rPr>
        <w:t>щодо практичного застосування окремих норм податкового законодавства та в межах компетенції повідомляє</w:t>
      </w:r>
      <w:r w:rsidR="00864C61">
        <w:rPr>
          <w:sz w:val="28"/>
          <w:szCs w:val="28"/>
          <w:lang w:val="uk-UA"/>
        </w:rPr>
        <w:t>.</w:t>
      </w:r>
    </w:p>
    <w:p w:rsidR="00A123AF" w:rsidRDefault="00A95CA1" w:rsidP="00A95CA1">
      <w:pPr>
        <w:ind w:firstLine="567"/>
        <w:jc w:val="both"/>
        <w:rPr>
          <w:sz w:val="28"/>
          <w:szCs w:val="28"/>
          <w:lang w:val="uk-UA"/>
        </w:rPr>
      </w:pPr>
      <w:r w:rsidRPr="00A95CA1">
        <w:rPr>
          <w:sz w:val="28"/>
          <w:szCs w:val="28"/>
          <w:lang w:val="uk-UA"/>
        </w:rPr>
        <w:t xml:space="preserve">Товариство повідомило, що </w:t>
      </w:r>
      <w:r w:rsidR="00A123AF">
        <w:rPr>
          <w:sz w:val="28"/>
          <w:szCs w:val="28"/>
          <w:lang w:val="uk-UA"/>
        </w:rPr>
        <w:t>основним видом його діяльності є «Загальна медична практика». У</w:t>
      </w:r>
      <w:r w:rsidR="00EB1BCD">
        <w:rPr>
          <w:sz w:val="28"/>
          <w:szCs w:val="28"/>
          <w:lang w:val="uk-UA"/>
        </w:rPr>
        <w:t xml:space="preserve"> процесі здійснення господарської діяльності </w:t>
      </w:r>
      <w:r w:rsidR="00A123AF">
        <w:rPr>
          <w:sz w:val="28"/>
          <w:szCs w:val="28"/>
          <w:lang w:val="uk-UA"/>
        </w:rPr>
        <w:t>існує необхідність у довозі працівників на місце праці з інших населених пунктів та у зворотному напрямку за рахунок Товариства. Для організації такого перевезення Товариство планує залучити сторонню особу – перевізника, який буде здійснювати таке перевезення за графіком та без персоніфікації працівників, які будуть користуватися послугами такого перевезення.   Вартість послуг перевезення Товариство включатиме до собівартості послуг, що ним надаються.</w:t>
      </w:r>
    </w:p>
    <w:p w:rsidR="00A95CA1" w:rsidRPr="00A95CA1" w:rsidRDefault="00A95CA1" w:rsidP="00A95CA1">
      <w:pPr>
        <w:ind w:firstLine="567"/>
        <w:jc w:val="both"/>
        <w:rPr>
          <w:sz w:val="28"/>
          <w:szCs w:val="28"/>
          <w:lang w:val="uk-UA"/>
        </w:rPr>
      </w:pPr>
      <w:r w:rsidRPr="00A95CA1">
        <w:rPr>
          <w:sz w:val="28"/>
          <w:szCs w:val="28"/>
          <w:lang w:val="uk-UA"/>
        </w:rPr>
        <w:t>Таким чином, Товариство просить надати індивідуальну податкову консультацію  з питань:</w:t>
      </w:r>
    </w:p>
    <w:p w:rsidR="00A123AF" w:rsidRDefault="00A95CA1" w:rsidP="00A95CA1">
      <w:pPr>
        <w:tabs>
          <w:tab w:val="left" w:pos="13608"/>
          <w:tab w:val="left" w:pos="13750"/>
        </w:tabs>
        <w:ind w:firstLine="567"/>
        <w:jc w:val="both"/>
        <w:rPr>
          <w:sz w:val="28"/>
          <w:szCs w:val="28"/>
          <w:lang w:val="uk-UA"/>
        </w:rPr>
      </w:pPr>
      <w:r w:rsidRPr="00A95CA1">
        <w:rPr>
          <w:sz w:val="28"/>
          <w:szCs w:val="28"/>
          <w:lang w:val="uk-UA"/>
        </w:rPr>
        <w:t xml:space="preserve">1. </w:t>
      </w:r>
      <w:r w:rsidR="00D47FD8">
        <w:rPr>
          <w:sz w:val="28"/>
          <w:szCs w:val="28"/>
          <w:lang w:val="uk-UA"/>
        </w:rPr>
        <w:t xml:space="preserve">Чи </w:t>
      </w:r>
      <w:r w:rsidR="00A123AF">
        <w:rPr>
          <w:sz w:val="28"/>
          <w:szCs w:val="28"/>
          <w:lang w:val="uk-UA"/>
        </w:rPr>
        <w:t xml:space="preserve">вважається, відповідно до норм Кодексу додатковим, благом вартість перевезення працівників до місця роботи та у зворотному напрямку за рахунок Товариства? </w:t>
      </w:r>
    </w:p>
    <w:p w:rsidR="001C6887" w:rsidRDefault="00A95CA1" w:rsidP="001C6887">
      <w:pPr>
        <w:tabs>
          <w:tab w:val="left" w:pos="13608"/>
          <w:tab w:val="left" w:pos="13750"/>
        </w:tabs>
        <w:ind w:firstLine="567"/>
        <w:jc w:val="both"/>
        <w:rPr>
          <w:sz w:val="28"/>
          <w:szCs w:val="28"/>
          <w:lang w:val="uk-UA"/>
        </w:rPr>
      </w:pPr>
      <w:r w:rsidRPr="00A95CA1">
        <w:rPr>
          <w:sz w:val="28"/>
          <w:szCs w:val="28"/>
          <w:lang w:val="uk-UA"/>
        </w:rPr>
        <w:t>2. Чи</w:t>
      </w:r>
      <w:r w:rsidR="00A123AF">
        <w:rPr>
          <w:sz w:val="28"/>
          <w:szCs w:val="28"/>
          <w:lang w:val="uk-UA"/>
        </w:rPr>
        <w:t xml:space="preserve"> підлягає оподаткуванню податком на доходи фізичних осіб та військовим збором вартість перевезення працівників за рахунок Товариства за умови, що такі витрати </w:t>
      </w:r>
      <w:r w:rsidR="00DD228F">
        <w:rPr>
          <w:sz w:val="28"/>
          <w:szCs w:val="28"/>
          <w:lang w:val="uk-UA"/>
        </w:rPr>
        <w:t>не підлягатимуть персоніфікації?</w:t>
      </w:r>
    </w:p>
    <w:p w:rsidR="006D5B42" w:rsidRDefault="00D47FD8" w:rsidP="00D47FD8">
      <w:pPr>
        <w:tabs>
          <w:tab w:val="left" w:pos="13608"/>
          <w:tab w:val="left" w:pos="13750"/>
        </w:tabs>
        <w:ind w:firstLine="567"/>
        <w:jc w:val="both"/>
        <w:rPr>
          <w:sz w:val="28"/>
          <w:szCs w:val="28"/>
          <w:lang w:val="uk-UA"/>
        </w:rPr>
      </w:pPr>
      <w:r>
        <w:rPr>
          <w:sz w:val="28"/>
          <w:szCs w:val="28"/>
          <w:lang w:val="uk-UA"/>
        </w:rPr>
        <w:t>3</w:t>
      </w:r>
      <w:r w:rsidRPr="00A95CA1">
        <w:rPr>
          <w:sz w:val="28"/>
          <w:szCs w:val="28"/>
          <w:lang w:val="uk-UA"/>
        </w:rPr>
        <w:t xml:space="preserve">. </w:t>
      </w:r>
      <w:r>
        <w:rPr>
          <w:sz w:val="28"/>
          <w:szCs w:val="28"/>
          <w:lang w:val="uk-UA"/>
        </w:rPr>
        <w:t>Чи</w:t>
      </w:r>
      <w:r w:rsidR="00760EBC">
        <w:rPr>
          <w:sz w:val="28"/>
          <w:szCs w:val="28"/>
          <w:lang w:val="uk-UA"/>
        </w:rPr>
        <w:t xml:space="preserve"> включаються до бази оподаткування </w:t>
      </w:r>
      <w:r w:rsidR="00760EBC" w:rsidRPr="004722D5">
        <w:rPr>
          <w:rFonts w:eastAsia="Calibri"/>
          <w:sz w:val="28"/>
          <w:szCs w:val="28"/>
          <w:lang w:eastAsia="uk-UA"/>
        </w:rPr>
        <w:t>єдин</w:t>
      </w:r>
      <w:r w:rsidR="00760EBC">
        <w:rPr>
          <w:rFonts w:eastAsia="Calibri"/>
          <w:sz w:val="28"/>
          <w:szCs w:val="28"/>
          <w:lang w:val="uk-UA" w:eastAsia="uk-UA"/>
        </w:rPr>
        <w:t>им</w:t>
      </w:r>
      <w:r w:rsidR="00760EBC" w:rsidRPr="004722D5">
        <w:rPr>
          <w:rFonts w:eastAsia="Calibri"/>
          <w:sz w:val="28"/>
          <w:szCs w:val="28"/>
          <w:lang w:eastAsia="uk-UA"/>
        </w:rPr>
        <w:t xml:space="preserve"> внеск</w:t>
      </w:r>
      <w:r w:rsidR="00760EBC">
        <w:rPr>
          <w:rFonts w:eastAsia="Calibri"/>
          <w:sz w:val="28"/>
          <w:szCs w:val="28"/>
          <w:lang w:val="uk-UA" w:eastAsia="uk-UA"/>
        </w:rPr>
        <w:t>ом</w:t>
      </w:r>
      <w:r w:rsidR="00760EBC" w:rsidRPr="004722D5">
        <w:rPr>
          <w:rFonts w:eastAsia="Calibri"/>
          <w:sz w:val="28"/>
          <w:szCs w:val="28"/>
          <w:lang w:eastAsia="uk-UA"/>
        </w:rPr>
        <w:t xml:space="preserve"> на загальнообов’язкове державне соціальне страхування</w:t>
      </w:r>
      <w:r w:rsidR="00760EBC">
        <w:rPr>
          <w:rFonts w:eastAsia="Calibri"/>
          <w:sz w:val="28"/>
          <w:szCs w:val="28"/>
          <w:lang w:val="uk-UA" w:eastAsia="uk-UA"/>
        </w:rPr>
        <w:t xml:space="preserve"> </w:t>
      </w:r>
      <w:r w:rsidR="006E60DF">
        <w:rPr>
          <w:rFonts w:eastAsia="Calibri"/>
          <w:sz w:val="28"/>
          <w:szCs w:val="28"/>
          <w:lang w:val="uk-UA" w:eastAsia="uk-UA"/>
        </w:rPr>
        <w:t xml:space="preserve">(далі – єдиний внесок) </w:t>
      </w:r>
      <w:r w:rsidR="00760EBC">
        <w:rPr>
          <w:rFonts w:eastAsia="Calibri"/>
          <w:sz w:val="28"/>
          <w:szCs w:val="28"/>
          <w:lang w:val="uk-UA" w:eastAsia="uk-UA"/>
        </w:rPr>
        <w:t xml:space="preserve">витрати Товариства на перевезення працівників за рахунок Товариства? </w:t>
      </w:r>
    </w:p>
    <w:p w:rsidR="00197303" w:rsidRDefault="00197303" w:rsidP="00197303">
      <w:pPr>
        <w:ind w:firstLine="567"/>
        <w:jc w:val="both"/>
        <w:rPr>
          <w:sz w:val="28"/>
          <w:szCs w:val="28"/>
        </w:rPr>
      </w:pPr>
      <w:r w:rsidRPr="003B2933">
        <w:rPr>
          <w:sz w:val="28"/>
          <w:szCs w:val="28"/>
          <w:lang w:val="uk-UA"/>
        </w:rPr>
        <w:t xml:space="preserve">Згідно з частиною другою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w:t>
      </w:r>
      <w:r w:rsidRPr="00342E49">
        <w:rPr>
          <w:sz w:val="28"/>
          <w:szCs w:val="28"/>
        </w:rPr>
        <w:t>України та законами України.</w:t>
      </w:r>
    </w:p>
    <w:p w:rsidR="00197303" w:rsidRDefault="00197303" w:rsidP="00197303">
      <w:pPr>
        <w:ind w:firstLine="567"/>
        <w:jc w:val="both"/>
        <w:rPr>
          <w:sz w:val="28"/>
          <w:szCs w:val="28"/>
        </w:rPr>
      </w:pPr>
      <w:r w:rsidRPr="00835078">
        <w:rPr>
          <w:sz w:val="28"/>
          <w:szCs w:val="28"/>
        </w:rPr>
        <w:t>Пунктом 19</w:t>
      </w:r>
      <w:r w:rsidRPr="00835078">
        <w:rPr>
          <w:sz w:val="28"/>
          <w:szCs w:val="28"/>
          <w:vertAlign w:val="superscript"/>
        </w:rPr>
        <w:t>1</w:t>
      </w:r>
      <w:r w:rsidRPr="00835078">
        <w:rPr>
          <w:sz w:val="28"/>
          <w:szCs w:val="28"/>
        </w:rPr>
        <w:t>.1 ст. 19</w:t>
      </w:r>
      <w:r w:rsidRPr="00835078">
        <w:rPr>
          <w:sz w:val="28"/>
          <w:szCs w:val="28"/>
          <w:vertAlign w:val="superscript"/>
        </w:rPr>
        <w:t>1</w:t>
      </w:r>
      <w:r w:rsidRPr="00835078">
        <w:rPr>
          <w:sz w:val="28"/>
          <w:szCs w:val="28"/>
        </w:rPr>
        <w:t xml:space="preserve"> Кодексу передбачено, що контролюючі органи здійснюють контроль за своєчасністю, достовірністю, повнотою нарахування та сплати податків, зборів, платежів установлених цим Кодексом, а також надають індивідуальні податкові консультації</w:t>
      </w:r>
      <w:r w:rsidRPr="00835078">
        <w:t xml:space="preserve"> </w:t>
      </w:r>
      <w:r w:rsidRPr="00835078">
        <w:rPr>
          <w:sz w:val="28"/>
          <w:szCs w:val="28"/>
        </w:rPr>
        <w:t>з питань податкового та іншого законодавства, контроль за додержанням якого покладено на контролюючі органи.</w:t>
      </w:r>
    </w:p>
    <w:p w:rsidR="00197303" w:rsidRPr="00585DAF" w:rsidRDefault="00197303" w:rsidP="00197303">
      <w:pPr>
        <w:widowControl w:val="0"/>
        <w:tabs>
          <w:tab w:val="left" w:pos="567"/>
        </w:tabs>
        <w:ind w:right="-2" w:firstLine="567"/>
        <w:jc w:val="both"/>
        <w:rPr>
          <w:sz w:val="28"/>
          <w:szCs w:val="28"/>
        </w:rPr>
      </w:pPr>
      <w:r>
        <w:rPr>
          <w:sz w:val="28"/>
          <w:szCs w:val="28"/>
        </w:rPr>
        <w:t>Щодо питань першого-другого</w:t>
      </w:r>
    </w:p>
    <w:p w:rsidR="00197303" w:rsidRPr="00342E49" w:rsidRDefault="00197303" w:rsidP="00197303">
      <w:pPr>
        <w:tabs>
          <w:tab w:val="left" w:pos="567"/>
        </w:tabs>
        <w:ind w:firstLine="567"/>
        <w:jc w:val="both"/>
        <w:rPr>
          <w:b/>
          <w:sz w:val="28"/>
          <w:szCs w:val="28"/>
        </w:rPr>
      </w:pPr>
      <w:r w:rsidRPr="00342E49">
        <w:rPr>
          <w:sz w:val="28"/>
          <w:szCs w:val="28"/>
        </w:rPr>
        <w:t>Відносини, що виникають у сфері справляння податків і зборів, регулюються Кодексом (п. 1.1 ст. 1 Кодексу).</w:t>
      </w:r>
    </w:p>
    <w:p w:rsidR="00197303" w:rsidRPr="00985590" w:rsidRDefault="00197303" w:rsidP="00197303">
      <w:pPr>
        <w:pStyle w:val="a3"/>
        <w:spacing w:before="0" w:beforeAutospacing="0" w:after="0" w:afterAutospacing="0"/>
        <w:ind w:firstLine="567"/>
        <w:jc w:val="both"/>
        <w:rPr>
          <w:rFonts w:ascii="Times New Roman" w:hAnsi="Times New Roman" w:cs="Times New Roman"/>
          <w:sz w:val="28"/>
          <w:szCs w:val="28"/>
        </w:rPr>
      </w:pPr>
      <w:r w:rsidRPr="00985590">
        <w:rPr>
          <w:rFonts w:ascii="Times New Roman" w:hAnsi="Times New Roman" w:cs="Times New Roman"/>
          <w:sz w:val="28"/>
          <w:szCs w:val="28"/>
        </w:rPr>
        <w:lastRenderedPageBreak/>
        <w:t>Відповідно до п.п. 14.1.54 п. 14.1 ст. 14 Кодексу доходом з джерелом походження з України є будь-який дохід, отриманий резидентами або нерезидентами, у тому числі від будь-яких видів їх діяльності на території України (включаючи виплату (нарахування) винагороди іноземними роботодавцями), її континентальному шельфі, у виключній (морській) економічній зоні.</w:t>
      </w:r>
    </w:p>
    <w:p w:rsidR="00197303" w:rsidRPr="003B2933" w:rsidRDefault="00197303" w:rsidP="00197303">
      <w:pPr>
        <w:widowControl w:val="0"/>
        <w:tabs>
          <w:tab w:val="left" w:pos="567"/>
        </w:tabs>
        <w:ind w:firstLine="567"/>
        <w:jc w:val="both"/>
        <w:rPr>
          <w:b/>
          <w:sz w:val="28"/>
          <w:szCs w:val="28"/>
          <w:lang w:val="uk-UA"/>
        </w:rPr>
      </w:pPr>
      <w:r w:rsidRPr="003B2933">
        <w:rPr>
          <w:sz w:val="28"/>
          <w:szCs w:val="28"/>
          <w:lang w:val="uk-UA"/>
        </w:rPr>
        <w:t xml:space="preserve">Оподаткування доходів фізичних осіб регламентується розділом </w:t>
      </w:r>
      <w:r w:rsidRPr="00985590">
        <w:rPr>
          <w:sz w:val="28"/>
          <w:szCs w:val="28"/>
          <w:lang w:val="en-US"/>
        </w:rPr>
        <w:t>IV</w:t>
      </w:r>
      <w:r w:rsidRPr="003B2933">
        <w:rPr>
          <w:sz w:val="28"/>
          <w:szCs w:val="28"/>
          <w:lang w:val="uk-UA"/>
        </w:rPr>
        <w:t xml:space="preserve"> Кодексу, відповідно до п.п. 162.1.1 п. 162.1 ст. 162 якого платником податку є фізична особа – резидент, яка отримує доходи з джерела їх походження в Україні.</w:t>
      </w:r>
    </w:p>
    <w:p w:rsidR="00197303" w:rsidRPr="00985590" w:rsidRDefault="00197303" w:rsidP="00197303">
      <w:pPr>
        <w:widowControl w:val="0"/>
        <w:tabs>
          <w:tab w:val="left" w:pos="567"/>
        </w:tabs>
        <w:ind w:firstLine="567"/>
        <w:jc w:val="both"/>
        <w:rPr>
          <w:rFonts w:eastAsia="Calibri"/>
          <w:sz w:val="28"/>
          <w:szCs w:val="28"/>
        </w:rPr>
      </w:pPr>
      <w:r w:rsidRPr="00985590">
        <w:rPr>
          <w:rFonts w:eastAsia="Calibri"/>
          <w:sz w:val="28"/>
          <w:szCs w:val="28"/>
        </w:rPr>
        <w:t>Згідно з п.п. 163.1.1 п. 163.1 ст. 163 Кодексу об’єктом оподаткування резидента є загальний місячний (річний) оподатковуваний дохід.</w:t>
      </w:r>
    </w:p>
    <w:p w:rsidR="00197303" w:rsidRPr="00985590" w:rsidRDefault="00197303" w:rsidP="00197303">
      <w:pPr>
        <w:tabs>
          <w:tab w:val="left" w:pos="567"/>
        </w:tabs>
        <w:ind w:firstLine="567"/>
        <w:jc w:val="both"/>
        <w:rPr>
          <w:sz w:val="28"/>
          <w:szCs w:val="28"/>
        </w:rPr>
      </w:pPr>
      <w:r w:rsidRPr="00985590">
        <w:rPr>
          <w:sz w:val="28"/>
          <w:szCs w:val="28"/>
        </w:rPr>
        <w:t>Статтею 165 Кодексу визначено перелік доходів, які не включаються до розрахунку місячного (річного) оподатковуваного доходу платника податку.</w:t>
      </w:r>
    </w:p>
    <w:p w:rsidR="00197303" w:rsidRPr="00985590" w:rsidRDefault="00197303" w:rsidP="00197303">
      <w:pPr>
        <w:widowControl w:val="0"/>
        <w:ind w:firstLine="567"/>
        <w:contextualSpacing/>
        <w:jc w:val="both"/>
        <w:rPr>
          <w:sz w:val="28"/>
          <w:szCs w:val="28"/>
        </w:rPr>
      </w:pPr>
      <w:r w:rsidRPr="00985590">
        <w:rPr>
          <w:sz w:val="28"/>
          <w:szCs w:val="28"/>
        </w:rPr>
        <w:t>Крім того, п.п. 1.7 п. 16</w:t>
      </w:r>
      <w:r w:rsidRPr="00985590">
        <w:rPr>
          <w:sz w:val="28"/>
          <w:szCs w:val="28"/>
          <w:vertAlign w:val="superscript"/>
        </w:rPr>
        <w:t>1</w:t>
      </w:r>
      <w:r w:rsidRPr="00985590">
        <w:rPr>
          <w:sz w:val="28"/>
          <w:szCs w:val="28"/>
        </w:rPr>
        <w:t xml:space="preserve"> підрозділу 10 розділу XX «Перехідні положення» Кодексу передбачено, що звільняються від оподаткування військовим збором доходи, які згідно з розділом IV Кодексу та підрозділом 1 розділу XX «Перехідні положення» Кодексу не включаються до загального оподатковуваного доходу фізичних осіб (не підлягають оподаткуванню, оподатковуються за нульовою ставкою), крім доходів, зазначених у</w:t>
      </w:r>
      <w:r w:rsidR="00E537E8">
        <w:rPr>
          <w:sz w:val="28"/>
          <w:szCs w:val="28"/>
          <w:lang w:val="uk-UA"/>
        </w:rPr>
        <w:t xml:space="preserve"> </w:t>
      </w:r>
      <w:r w:rsidRPr="00985590">
        <w:rPr>
          <w:sz w:val="28"/>
          <w:szCs w:val="28"/>
        </w:rPr>
        <w:t>п.п. 165.1.36 п. 165.1 ст. 165, пп. 3 і 4</w:t>
      </w:r>
      <w:r w:rsidR="00E537E8">
        <w:rPr>
          <w:sz w:val="28"/>
          <w:szCs w:val="28"/>
          <w:lang w:val="uk-UA"/>
        </w:rPr>
        <w:t xml:space="preserve">               </w:t>
      </w:r>
      <w:r w:rsidRPr="00985590">
        <w:rPr>
          <w:sz w:val="28"/>
          <w:szCs w:val="28"/>
        </w:rPr>
        <w:t xml:space="preserve"> п. 170.13</w:t>
      </w:r>
      <w:r w:rsidRPr="00985590">
        <w:rPr>
          <w:sz w:val="28"/>
          <w:szCs w:val="28"/>
          <w:vertAlign w:val="superscript"/>
        </w:rPr>
        <w:t>1</w:t>
      </w:r>
      <w:r w:rsidRPr="00985590">
        <w:rPr>
          <w:sz w:val="28"/>
          <w:szCs w:val="28"/>
        </w:rPr>
        <w:t xml:space="preserve"> ст. 170 Кодексу та п. 14 підрозділу 1 розділу XX «Перехідні положення» Кодексу.</w:t>
      </w:r>
    </w:p>
    <w:p w:rsidR="00197303" w:rsidRPr="00985590" w:rsidRDefault="00197303" w:rsidP="00197303">
      <w:pPr>
        <w:ind w:firstLine="567"/>
        <w:jc w:val="both"/>
        <w:rPr>
          <w:sz w:val="28"/>
          <w:szCs w:val="28"/>
        </w:rPr>
      </w:pPr>
      <w:r w:rsidRPr="00985590">
        <w:rPr>
          <w:sz w:val="28"/>
          <w:szCs w:val="28"/>
        </w:rPr>
        <w:t xml:space="preserve">Водночас перелік доходів, які включаються до загального місячного (річного) оподатковуваного доходу платника податку визначено п. 164.2 </w:t>
      </w:r>
      <w:r w:rsidRPr="00985590">
        <w:rPr>
          <w:sz w:val="28"/>
          <w:szCs w:val="28"/>
        </w:rPr>
        <w:br/>
        <w:t>ст. 164 Кодексу, зокрема, дохід, отриманий платником податку як додаткове благо (крім випадків, передбачених ст. 165 Кодексу) у вигляді вартості використання житла, інших об’єктів матеріального або нематеріального майна, що належать роботодавцю, наданих платнику податку в безоплатне користування, або компенсації вартості такого використання, крім випадків, коли таке надання зумовлено виконанням платником податку трудової функції відповідно до трудового договору (контракту) чи передбачено нормами колективного договору або відповідно до закону в установлених ними межах (п.п. «а» п.п. 164.2.17 п. 164.2 ст. 164 Кодексу).</w:t>
      </w:r>
    </w:p>
    <w:p w:rsidR="00197303" w:rsidRPr="00985590" w:rsidRDefault="00197303" w:rsidP="00197303">
      <w:pPr>
        <w:ind w:firstLine="567"/>
        <w:jc w:val="both"/>
        <w:rPr>
          <w:sz w:val="28"/>
          <w:szCs w:val="28"/>
        </w:rPr>
      </w:pPr>
      <w:r w:rsidRPr="00985590">
        <w:rPr>
          <w:sz w:val="28"/>
          <w:szCs w:val="28"/>
        </w:rPr>
        <w:t xml:space="preserve">Додатково до винятків, передбачених п.п. «а» п.п. 164.2.17 п. 164.2 ст. 164 Кодексу, не вважаються додатковим благом платника податку, зокрема, доходи, </w:t>
      </w:r>
      <w:r w:rsidRPr="00985590">
        <w:rPr>
          <w:sz w:val="28"/>
          <w:szCs w:val="28"/>
        </w:rPr>
        <w:br/>
        <w:t xml:space="preserve">одержані у формі та розмірах, що підлягають включенню роботодавцем до собівартості реалізованих товарів, виконаних робіт, наданих послуг </w:t>
      </w:r>
      <w:r w:rsidRPr="00985590">
        <w:rPr>
          <w:sz w:val="28"/>
          <w:szCs w:val="28"/>
        </w:rPr>
        <w:br/>
        <w:t>(абзац другий п.п. «б» п.п. 164.2.17 п. 164.2 ст. 164 Кодексу).</w:t>
      </w:r>
    </w:p>
    <w:p w:rsidR="00197303" w:rsidRPr="00985590" w:rsidRDefault="00197303" w:rsidP="00197303">
      <w:pPr>
        <w:tabs>
          <w:tab w:val="left" w:pos="567"/>
        </w:tabs>
        <w:ind w:firstLine="567"/>
        <w:jc w:val="both"/>
        <w:rPr>
          <w:sz w:val="28"/>
          <w:szCs w:val="28"/>
        </w:rPr>
      </w:pPr>
      <w:r w:rsidRPr="00985590">
        <w:rPr>
          <w:sz w:val="28"/>
          <w:szCs w:val="28"/>
        </w:rPr>
        <w:t xml:space="preserve">Зауважуємо, що норми п.п. «а» п.п. 164.2.17 п. 164.2 ст. 164 Кодексу, </w:t>
      </w:r>
      <w:r w:rsidRPr="00985590">
        <w:rPr>
          <w:sz w:val="28"/>
          <w:szCs w:val="28"/>
        </w:rPr>
        <w:br/>
        <w:t xml:space="preserve">а також абзацу другого п.п. «б» п.п. 164.2.17 п. 164.2 ст. 164 Кодексу застосовується юридичною особою (роботодавцем) у разі використання працівником житла, інших об’єктів матеріального або нематеріального майна, що належать безпосередньо роботодавцю та наданих такому працівнику </w:t>
      </w:r>
      <w:r w:rsidRPr="00985590">
        <w:rPr>
          <w:sz w:val="28"/>
          <w:szCs w:val="28"/>
        </w:rPr>
        <w:br/>
        <w:t xml:space="preserve">в безоплатне користування, або сплачуєтся компенсація вартості такого </w:t>
      </w:r>
      <w:r w:rsidRPr="00985590">
        <w:rPr>
          <w:sz w:val="28"/>
          <w:szCs w:val="28"/>
        </w:rPr>
        <w:lastRenderedPageBreak/>
        <w:t>використання і такі витрати включаються до собівартості реалізованих товарів, виконаних робіт, наданих послуг.</w:t>
      </w:r>
    </w:p>
    <w:p w:rsidR="00197303" w:rsidRPr="00985590" w:rsidRDefault="00197303" w:rsidP="00197303">
      <w:pPr>
        <w:tabs>
          <w:tab w:val="left" w:pos="567"/>
        </w:tabs>
        <w:ind w:firstLine="567"/>
        <w:jc w:val="both"/>
        <w:rPr>
          <w:sz w:val="28"/>
          <w:szCs w:val="28"/>
        </w:rPr>
      </w:pPr>
      <w:r w:rsidRPr="00985590">
        <w:rPr>
          <w:sz w:val="28"/>
          <w:szCs w:val="28"/>
        </w:rPr>
        <w:t>Водночас до загального місячного (річного) оподатковуваного доходу платника податку включається, зокрема:</w:t>
      </w:r>
    </w:p>
    <w:p w:rsidR="00197303" w:rsidRPr="00985590" w:rsidRDefault="00197303" w:rsidP="00197303">
      <w:pPr>
        <w:tabs>
          <w:tab w:val="left" w:pos="567"/>
        </w:tabs>
        <w:ind w:firstLine="567"/>
        <w:jc w:val="both"/>
        <w:rPr>
          <w:sz w:val="28"/>
          <w:szCs w:val="28"/>
        </w:rPr>
      </w:pPr>
      <w:r w:rsidRPr="00985590">
        <w:rPr>
          <w:sz w:val="28"/>
          <w:szCs w:val="28"/>
        </w:rPr>
        <w:t xml:space="preserve">дохід, отриманий платником податку як додаткове благо (крім випадків, передбачених ст. 165 Кодексу) у вигляді вартості безоплатно отриманих товарів (робіт, послуг), визначеної за правилами звичайної ціни, крім сум, зазначених </w:t>
      </w:r>
      <w:r w:rsidRPr="00985590">
        <w:rPr>
          <w:sz w:val="28"/>
          <w:szCs w:val="28"/>
        </w:rPr>
        <w:br/>
        <w:t>у п.п. 165.1.53 п. 165.1 ст. 165 Кодексу (п.п. «е» п.п. 164.2.17 п. 164.2 ст. 164 Кодексу);</w:t>
      </w:r>
    </w:p>
    <w:p w:rsidR="00197303" w:rsidRPr="00985590" w:rsidRDefault="00197303" w:rsidP="00197303">
      <w:pPr>
        <w:tabs>
          <w:tab w:val="left" w:pos="567"/>
        </w:tabs>
        <w:ind w:firstLine="567"/>
        <w:jc w:val="both"/>
        <w:rPr>
          <w:sz w:val="28"/>
          <w:szCs w:val="28"/>
        </w:rPr>
      </w:pPr>
      <w:r w:rsidRPr="00985590">
        <w:rPr>
          <w:sz w:val="28"/>
          <w:szCs w:val="28"/>
        </w:rPr>
        <w:t>інші доходи, крім зазначених ст. 165 Кодексу (п.п. 164.2.20 п. 164.2 ст. 164 Кодексу).</w:t>
      </w:r>
    </w:p>
    <w:p w:rsidR="00197303" w:rsidRPr="00985590" w:rsidRDefault="00197303" w:rsidP="00197303">
      <w:pPr>
        <w:ind w:firstLine="567"/>
        <w:jc w:val="both"/>
        <w:rPr>
          <w:sz w:val="28"/>
          <w:szCs w:val="28"/>
        </w:rPr>
      </w:pPr>
      <w:r w:rsidRPr="00985590">
        <w:rPr>
          <w:sz w:val="28"/>
          <w:szCs w:val="28"/>
        </w:rPr>
        <w:t>Згідно з п. 167.1 ст. 167 Кодексу ставка податку становить 18 відсотків бази оподаткування щодо доходів, нарахованих (виплачених, наданих) платнику (крім випадків, визначених у пунктах 167.2 - 167.5 ст. 167 Кодексу).</w:t>
      </w:r>
    </w:p>
    <w:p w:rsidR="00197303" w:rsidRPr="00985590" w:rsidRDefault="00197303" w:rsidP="00197303">
      <w:pPr>
        <w:pStyle w:val="15"/>
        <w:widowControl w:val="0"/>
        <w:ind w:right="-1" w:firstLine="567"/>
        <w:jc w:val="both"/>
        <w:rPr>
          <w:rStyle w:val="16"/>
          <w:rFonts w:ascii="Times New Roman" w:hAnsi="Times New Roman"/>
          <w:sz w:val="28"/>
          <w:szCs w:val="28"/>
        </w:rPr>
      </w:pPr>
      <w:r w:rsidRPr="00985590">
        <w:rPr>
          <w:rFonts w:eastAsia="Batang"/>
          <w:sz w:val="28"/>
          <w:szCs w:val="28"/>
          <w:lang w:eastAsia="ko-KR"/>
        </w:rPr>
        <w:t>Також доходи, визначені ст. 163 Кодексу для платників, зазначених у</w:t>
      </w:r>
      <w:r w:rsidRPr="00985590">
        <w:rPr>
          <w:sz w:val="28"/>
          <w:szCs w:val="28"/>
        </w:rPr>
        <w:t xml:space="preserve"> п.п. 1 п.п. 1.1 п. 16</w:t>
      </w:r>
      <w:r w:rsidRPr="00985590">
        <w:rPr>
          <w:sz w:val="28"/>
          <w:szCs w:val="28"/>
          <w:vertAlign w:val="superscript"/>
        </w:rPr>
        <w:t>1</w:t>
      </w:r>
      <w:r w:rsidRPr="00985590">
        <w:rPr>
          <w:sz w:val="28"/>
          <w:szCs w:val="28"/>
        </w:rPr>
        <w:t xml:space="preserve"> підрозділу 10 розділу XX «Перехідні положення» Кодексу,</w:t>
      </w:r>
      <w:r w:rsidRPr="00985590">
        <w:rPr>
          <w:rFonts w:eastAsia="Batang"/>
          <w:sz w:val="28"/>
          <w:szCs w:val="28"/>
          <w:lang w:eastAsia="ko-KR"/>
        </w:rPr>
        <w:t xml:space="preserve"> </w:t>
      </w:r>
      <w:r w:rsidRPr="00985590">
        <w:rPr>
          <w:rFonts w:eastAsia="Batang"/>
          <w:sz w:val="28"/>
          <w:szCs w:val="28"/>
          <w:lang w:eastAsia="ko-KR"/>
        </w:rPr>
        <w:br/>
        <w:t xml:space="preserve">є об’єктом оподаткування військовим збором </w:t>
      </w:r>
      <w:r w:rsidRPr="00985590">
        <w:rPr>
          <w:sz w:val="28"/>
          <w:szCs w:val="28"/>
        </w:rPr>
        <w:t>(п.п. 1 п.п. 1.2 п. 16</w:t>
      </w:r>
      <w:r w:rsidRPr="00985590">
        <w:rPr>
          <w:sz w:val="28"/>
          <w:szCs w:val="28"/>
          <w:vertAlign w:val="superscript"/>
        </w:rPr>
        <w:t>1</w:t>
      </w:r>
      <w:r w:rsidRPr="00985590">
        <w:rPr>
          <w:sz w:val="28"/>
          <w:szCs w:val="28"/>
        </w:rPr>
        <w:t xml:space="preserve"> підрозділу 10 розділу XX «Перехідні положення» Кодексу</w:t>
      </w:r>
      <w:r w:rsidRPr="00985590">
        <w:rPr>
          <w:rStyle w:val="16"/>
          <w:rFonts w:ascii="Times New Roman" w:hAnsi="Times New Roman"/>
          <w:sz w:val="28"/>
          <w:szCs w:val="28"/>
        </w:rPr>
        <w:t>).</w:t>
      </w:r>
    </w:p>
    <w:p w:rsidR="00197303" w:rsidRPr="00985590" w:rsidRDefault="00197303" w:rsidP="00197303">
      <w:pPr>
        <w:pStyle w:val="15"/>
        <w:widowControl w:val="0"/>
        <w:ind w:right="-1" w:firstLine="567"/>
        <w:jc w:val="both"/>
        <w:rPr>
          <w:rStyle w:val="16"/>
          <w:rFonts w:ascii="Times New Roman" w:hAnsi="Times New Roman"/>
          <w:sz w:val="28"/>
          <w:szCs w:val="28"/>
        </w:rPr>
      </w:pPr>
      <w:r w:rsidRPr="00985590">
        <w:rPr>
          <w:sz w:val="28"/>
          <w:szCs w:val="28"/>
        </w:rPr>
        <w:t xml:space="preserve">Ставка військового збору становить, зокрема, для платників, зазначених </w:t>
      </w:r>
      <w:r w:rsidRPr="00985590">
        <w:rPr>
          <w:sz w:val="28"/>
          <w:szCs w:val="28"/>
        </w:rPr>
        <w:br/>
        <w:t xml:space="preserve">у </w:t>
      </w:r>
      <w:r w:rsidRPr="00985590">
        <w:rPr>
          <w:color w:val="000000"/>
          <w:sz w:val="28"/>
          <w:szCs w:val="28"/>
        </w:rPr>
        <w:t>п.п.</w:t>
      </w:r>
      <w:r w:rsidRPr="00985590">
        <w:rPr>
          <w:sz w:val="28"/>
          <w:szCs w:val="28"/>
        </w:rPr>
        <w:t xml:space="preserve"> 1 </w:t>
      </w:r>
      <w:r w:rsidRPr="00985590">
        <w:rPr>
          <w:color w:val="000000"/>
          <w:sz w:val="28"/>
          <w:szCs w:val="28"/>
        </w:rPr>
        <w:t>п.п.</w:t>
      </w:r>
      <w:r w:rsidRPr="00985590">
        <w:rPr>
          <w:sz w:val="28"/>
          <w:szCs w:val="28"/>
        </w:rPr>
        <w:t xml:space="preserve"> 1.1 п. 16</w:t>
      </w:r>
      <w:r w:rsidRPr="00985590">
        <w:rPr>
          <w:sz w:val="28"/>
          <w:szCs w:val="28"/>
          <w:vertAlign w:val="superscript"/>
        </w:rPr>
        <w:t>1</w:t>
      </w:r>
      <w:r w:rsidRPr="00985590">
        <w:rPr>
          <w:sz w:val="28"/>
          <w:szCs w:val="28"/>
        </w:rPr>
        <w:t xml:space="preserve"> підрозділу 10 розділу XX «Перехідні положення» Кодексу, </w:t>
      </w:r>
      <w:r w:rsidRPr="00985590">
        <w:rPr>
          <w:rStyle w:val="16"/>
          <w:rFonts w:ascii="Times New Roman" w:hAnsi="Times New Roman"/>
          <w:sz w:val="28"/>
          <w:szCs w:val="28"/>
        </w:rPr>
        <w:t>–</w:t>
      </w:r>
      <w:r w:rsidRPr="00985590">
        <w:rPr>
          <w:sz w:val="28"/>
          <w:szCs w:val="28"/>
        </w:rPr>
        <w:t xml:space="preserve"> 5 відсотків від об’єкта оподаткування, визначеного </w:t>
      </w:r>
      <w:r w:rsidRPr="00985590">
        <w:rPr>
          <w:color w:val="000000"/>
          <w:sz w:val="28"/>
          <w:szCs w:val="28"/>
        </w:rPr>
        <w:t>п.п.</w:t>
      </w:r>
      <w:r w:rsidRPr="00985590">
        <w:rPr>
          <w:sz w:val="28"/>
          <w:szCs w:val="28"/>
        </w:rPr>
        <w:t xml:space="preserve"> 1 </w:t>
      </w:r>
      <w:r w:rsidRPr="00985590">
        <w:rPr>
          <w:color w:val="000000"/>
          <w:sz w:val="28"/>
          <w:szCs w:val="28"/>
        </w:rPr>
        <w:t>п.п.</w:t>
      </w:r>
      <w:r w:rsidRPr="00985590">
        <w:rPr>
          <w:sz w:val="28"/>
          <w:szCs w:val="28"/>
        </w:rPr>
        <w:t xml:space="preserve"> 1.2 </w:t>
      </w:r>
      <w:r w:rsidRPr="00985590">
        <w:rPr>
          <w:sz w:val="28"/>
          <w:szCs w:val="28"/>
        </w:rPr>
        <w:br/>
        <w:t>п. 16</w:t>
      </w:r>
      <w:r w:rsidRPr="00985590">
        <w:rPr>
          <w:sz w:val="28"/>
          <w:szCs w:val="28"/>
          <w:vertAlign w:val="superscript"/>
        </w:rPr>
        <w:t xml:space="preserve">1 </w:t>
      </w:r>
      <w:r w:rsidRPr="00985590">
        <w:rPr>
          <w:sz w:val="28"/>
          <w:szCs w:val="28"/>
        </w:rPr>
        <w:t>підрозділу 10 розділу XX «Перехідні положення» Кодексу,</w:t>
      </w:r>
      <w:r w:rsidRPr="00985590">
        <w:rPr>
          <w:rFonts w:eastAsia="Calibri"/>
          <w:sz w:val="28"/>
          <w:szCs w:val="28"/>
          <w:lang w:eastAsia="en-US"/>
        </w:rPr>
        <w:t xml:space="preserve"> крім доходів, які оподатковуються за ставкою, визначеною </w:t>
      </w:r>
      <w:r w:rsidRPr="00985590">
        <w:rPr>
          <w:color w:val="000000"/>
          <w:sz w:val="28"/>
          <w:szCs w:val="28"/>
        </w:rPr>
        <w:t xml:space="preserve">п.п. </w:t>
      </w:r>
      <w:r w:rsidRPr="00985590">
        <w:rPr>
          <w:rFonts w:eastAsia="Calibri"/>
          <w:sz w:val="28"/>
          <w:szCs w:val="28"/>
          <w:lang w:eastAsia="en-US"/>
        </w:rPr>
        <w:t xml:space="preserve">4 п.п. 1.3 </w:t>
      </w:r>
      <w:r w:rsidRPr="00985590">
        <w:rPr>
          <w:sz w:val="28"/>
          <w:szCs w:val="28"/>
        </w:rPr>
        <w:t>п. 16</w:t>
      </w:r>
      <w:r w:rsidRPr="00985590">
        <w:rPr>
          <w:sz w:val="28"/>
          <w:szCs w:val="28"/>
          <w:vertAlign w:val="superscript"/>
        </w:rPr>
        <w:t>1</w:t>
      </w:r>
      <w:r w:rsidRPr="00985590">
        <w:rPr>
          <w:sz w:val="28"/>
          <w:szCs w:val="28"/>
        </w:rPr>
        <w:t xml:space="preserve"> підрозділу 10 розділу XX «Перехідні положення» Кодексу (</w:t>
      </w:r>
      <w:r w:rsidRPr="00985590">
        <w:rPr>
          <w:color w:val="000000"/>
          <w:sz w:val="28"/>
          <w:szCs w:val="28"/>
        </w:rPr>
        <w:t>п.п.</w:t>
      </w:r>
      <w:r w:rsidRPr="00985590">
        <w:rPr>
          <w:sz w:val="28"/>
          <w:szCs w:val="28"/>
        </w:rPr>
        <w:t xml:space="preserve"> 1 </w:t>
      </w:r>
      <w:r w:rsidRPr="00985590">
        <w:rPr>
          <w:color w:val="000000"/>
          <w:sz w:val="28"/>
          <w:szCs w:val="28"/>
        </w:rPr>
        <w:t>п.п.</w:t>
      </w:r>
      <w:r w:rsidRPr="00985590">
        <w:rPr>
          <w:sz w:val="28"/>
          <w:szCs w:val="28"/>
        </w:rPr>
        <w:t xml:space="preserve"> 1.3 п. 16</w:t>
      </w:r>
      <w:r w:rsidRPr="00985590">
        <w:rPr>
          <w:sz w:val="28"/>
          <w:szCs w:val="28"/>
          <w:vertAlign w:val="superscript"/>
        </w:rPr>
        <w:t>1</w:t>
      </w:r>
      <w:r w:rsidRPr="00985590">
        <w:rPr>
          <w:sz w:val="28"/>
          <w:szCs w:val="28"/>
        </w:rPr>
        <w:t xml:space="preserve"> підрозділу 10 розділу XX «Перехідні положення» Кодексу</w:t>
      </w:r>
      <w:r w:rsidRPr="00985590">
        <w:rPr>
          <w:rStyle w:val="16"/>
          <w:rFonts w:ascii="Times New Roman" w:hAnsi="Times New Roman"/>
          <w:sz w:val="28"/>
          <w:szCs w:val="28"/>
        </w:rPr>
        <w:t>).</w:t>
      </w:r>
    </w:p>
    <w:p w:rsidR="00197303" w:rsidRPr="00985590" w:rsidRDefault="00197303" w:rsidP="00197303">
      <w:pPr>
        <w:ind w:firstLine="567"/>
        <w:jc w:val="both"/>
        <w:rPr>
          <w:sz w:val="28"/>
          <w:szCs w:val="28"/>
        </w:rPr>
      </w:pPr>
      <w:r w:rsidRPr="00985590">
        <w:rPr>
          <w:sz w:val="28"/>
          <w:szCs w:val="28"/>
        </w:rPr>
        <w:t>Порядок нарахування, утримання та сплати (перерахування) податку на доходи фізичних осіб та військового збору до бюджету визначено ст. 168 Кодексу та п.п. 1.4 п. 16</w:t>
      </w:r>
      <w:r w:rsidRPr="00985590">
        <w:rPr>
          <w:sz w:val="28"/>
          <w:szCs w:val="28"/>
          <w:vertAlign w:val="superscript"/>
        </w:rPr>
        <w:t>1</w:t>
      </w:r>
      <w:r w:rsidRPr="00985590">
        <w:rPr>
          <w:sz w:val="28"/>
          <w:szCs w:val="28"/>
        </w:rPr>
        <w:t xml:space="preserve"> підрозділу 10 розділу XX «Перехідні положення» Кодексу.</w:t>
      </w:r>
    </w:p>
    <w:p w:rsidR="00197303" w:rsidRPr="00985590" w:rsidRDefault="00197303" w:rsidP="00197303">
      <w:pPr>
        <w:widowControl w:val="0"/>
        <w:ind w:firstLine="567"/>
        <w:jc w:val="both"/>
        <w:rPr>
          <w:sz w:val="28"/>
          <w:szCs w:val="28"/>
        </w:rPr>
      </w:pPr>
      <w:r w:rsidRPr="00985590">
        <w:rPr>
          <w:sz w:val="28"/>
          <w:szCs w:val="28"/>
        </w:rPr>
        <w:t xml:space="preserve">Податковий агент, визначення якого наведено у п.п. 14.1.180 п. 14.1 </w:t>
      </w:r>
      <w:r w:rsidRPr="00985590">
        <w:rPr>
          <w:sz w:val="28"/>
          <w:szCs w:val="28"/>
        </w:rPr>
        <w:br/>
        <w:t>ст. 14 Кодексу, який нараховує (виплачує, надає) оподатковуваний дохід на користь платника податку, зобов’язаний утримувати податок (військовий збір) із суми такого доходу за його рахунок, використовуючи ставку податку, визначену в ст. 167 Кодексу, та ставку військового збору, встановлену п.п. 1 п.п. 1.3 п. 16</w:t>
      </w:r>
      <w:r w:rsidRPr="00985590">
        <w:rPr>
          <w:sz w:val="28"/>
          <w:szCs w:val="28"/>
          <w:vertAlign w:val="superscript"/>
        </w:rPr>
        <w:t>1</w:t>
      </w:r>
      <w:r w:rsidRPr="00985590">
        <w:rPr>
          <w:sz w:val="28"/>
          <w:szCs w:val="28"/>
        </w:rPr>
        <w:t xml:space="preserve"> підрозділу 10 розділу XX «Перехідні положення» Кодексу </w:t>
      </w:r>
      <w:r w:rsidRPr="00985590">
        <w:rPr>
          <w:sz w:val="28"/>
          <w:szCs w:val="28"/>
        </w:rPr>
        <w:br/>
        <w:t>(п.п. 168.1.1 п. 168.1 ст. 168 Кодексу).</w:t>
      </w:r>
    </w:p>
    <w:p w:rsidR="00197303" w:rsidRPr="00985590" w:rsidRDefault="00197303" w:rsidP="00197303">
      <w:pPr>
        <w:pStyle w:val="15"/>
        <w:widowControl w:val="0"/>
        <w:ind w:right="-1" w:firstLine="567"/>
        <w:jc w:val="both"/>
        <w:rPr>
          <w:color w:val="000000"/>
          <w:sz w:val="28"/>
          <w:szCs w:val="28"/>
        </w:rPr>
      </w:pPr>
      <w:r w:rsidRPr="00985590">
        <w:rPr>
          <w:color w:val="000000"/>
          <w:sz w:val="28"/>
          <w:szCs w:val="28"/>
        </w:rPr>
        <w:t xml:space="preserve">Враховуючи викладене, у разі якщо юридичною особою (роботодавцем) </w:t>
      </w:r>
      <w:r w:rsidRPr="00985590">
        <w:rPr>
          <w:color w:val="000000"/>
          <w:sz w:val="28"/>
          <w:szCs w:val="28"/>
        </w:rPr>
        <w:br/>
      </w:r>
      <w:r w:rsidRPr="00985590">
        <w:rPr>
          <w:sz w:val="28"/>
          <w:szCs w:val="28"/>
        </w:rPr>
        <w:t>за власний рахунок оплачуються послуги</w:t>
      </w:r>
      <w:r w:rsidRPr="00985590">
        <w:rPr>
          <w:sz w:val="28"/>
          <w:szCs w:val="28"/>
          <w:lang w:val="ru-RU"/>
        </w:rPr>
        <w:t xml:space="preserve"> </w:t>
      </w:r>
      <w:r w:rsidRPr="00985590">
        <w:rPr>
          <w:sz w:val="28"/>
          <w:szCs w:val="28"/>
        </w:rPr>
        <w:t>з перевезення працівників до місця роботи та з роботи, на підставі укладеного Договору з перевізником</w:t>
      </w:r>
      <w:r w:rsidRPr="00985590">
        <w:rPr>
          <w:color w:val="000000"/>
          <w:sz w:val="28"/>
          <w:szCs w:val="28"/>
        </w:rPr>
        <w:t xml:space="preserve">, то дохід </w:t>
      </w:r>
      <w:r w:rsidRPr="00985590">
        <w:rPr>
          <w:color w:val="000000"/>
          <w:sz w:val="28"/>
          <w:szCs w:val="28"/>
        </w:rPr>
        <w:br/>
        <w:t xml:space="preserve">у вигляді вартості наданих послуг включається до загального місячного (річного) оподатковуваного доходу платника податків – </w:t>
      </w:r>
      <w:r w:rsidRPr="00985590">
        <w:rPr>
          <w:sz w:val="28"/>
          <w:szCs w:val="28"/>
          <w:lang w:eastAsia="ru-RU"/>
        </w:rPr>
        <w:t>фізичної особи</w:t>
      </w:r>
      <w:r w:rsidRPr="00985590">
        <w:rPr>
          <w:color w:val="000000"/>
          <w:sz w:val="28"/>
          <w:szCs w:val="28"/>
        </w:rPr>
        <w:t xml:space="preserve"> як додаткове благо та оподатковується податком на доходи фізичних осіб і військовим збором на загальних підставах.</w:t>
      </w:r>
    </w:p>
    <w:p w:rsidR="00197303" w:rsidRPr="00985590" w:rsidRDefault="00197303" w:rsidP="00197303">
      <w:pPr>
        <w:widowControl w:val="0"/>
        <w:ind w:firstLine="567"/>
        <w:jc w:val="both"/>
        <w:rPr>
          <w:sz w:val="28"/>
          <w:szCs w:val="28"/>
        </w:rPr>
      </w:pPr>
      <w:r w:rsidRPr="00985590">
        <w:rPr>
          <w:sz w:val="28"/>
          <w:szCs w:val="28"/>
        </w:rPr>
        <w:t xml:space="preserve">При цьому неможливість, на думку юридичної особи, персоніфікувати </w:t>
      </w:r>
      <w:r w:rsidRPr="00985590">
        <w:rPr>
          <w:sz w:val="28"/>
          <w:szCs w:val="28"/>
        </w:rPr>
        <w:lastRenderedPageBreak/>
        <w:t>отриманий дохід не може слугувати підставою для звільнення платника податків від сплати відповідних податків і зборів.</w:t>
      </w:r>
    </w:p>
    <w:p w:rsidR="00197303" w:rsidRPr="00985590" w:rsidRDefault="00197303" w:rsidP="00197303">
      <w:pPr>
        <w:pStyle w:val="15"/>
        <w:widowControl w:val="0"/>
        <w:ind w:right="-1" w:firstLine="567"/>
        <w:jc w:val="both"/>
        <w:rPr>
          <w:sz w:val="28"/>
          <w:szCs w:val="28"/>
        </w:rPr>
      </w:pPr>
      <w:r w:rsidRPr="00985590">
        <w:rPr>
          <w:sz w:val="28"/>
          <w:szCs w:val="28"/>
        </w:rPr>
        <w:t>Щодо третього питання</w:t>
      </w:r>
    </w:p>
    <w:p w:rsidR="00197303" w:rsidRPr="00985590" w:rsidRDefault="00197303" w:rsidP="00197303">
      <w:pPr>
        <w:tabs>
          <w:tab w:val="left" w:pos="0"/>
          <w:tab w:val="left" w:pos="993"/>
        </w:tabs>
        <w:ind w:firstLine="567"/>
        <w:jc w:val="both"/>
        <w:rPr>
          <w:sz w:val="28"/>
          <w:szCs w:val="28"/>
        </w:rPr>
      </w:pPr>
      <w:r w:rsidRPr="00985590">
        <w:rPr>
          <w:sz w:val="28"/>
          <w:szCs w:val="28"/>
        </w:rPr>
        <w:t xml:space="preserve">Правові та організаційні засади забезпечення збору та обліку єдиного внеску, умови та порядок нарахування і сплати та повноваження органу, що здійснює його збір та ведення обліку, визначає </w:t>
      </w:r>
      <w:r w:rsidR="00187B19" w:rsidRPr="00763842">
        <w:rPr>
          <w:color w:val="000000"/>
          <w:sz w:val="28"/>
          <w:szCs w:val="28"/>
        </w:rPr>
        <w:t>Закон</w:t>
      </w:r>
      <w:r w:rsidR="00187B19">
        <w:rPr>
          <w:color w:val="000000"/>
          <w:sz w:val="28"/>
          <w:szCs w:val="28"/>
          <w:lang w:val="uk-UA"/>
        </w:rPr>
        <w:t>у</w:t>
      </w:r>
      <w:r w:rsidR="00187B19" w:rsidRPr="00763842">
        <w:rPr>
          <w:color w:val="000000"/>
          <w:sz w:val="28"/>
          <w:szCs w:val="28"/>
        </w:rPr>
        <w:t xml:space="preserve"> України від 08 липня 2010 року № 2464-VI «Про збір та облік єдиного внеску на загальнообов</w:t>
      </w:r>
      <w:r w:rsidR="00187B19" w:rsidRPr="003B2933">
        <w:rPr>
          <w:color w:val="000000"/>
          <w:sz w:val="28"/>
          <w:szCs w:val="28"/>
        </w:rPr>
        <w:t>’</w:t>
      </w:r>
      <w:r w:rsidR="00187B19" w:rsidRPr="00763842">
        <w:rPr>
          <w:color w:val="000000"/>
          <w:sz w:val="28"/>
          <w:szCs w:val="28"/>
        </w:rPr>
        <w:t>язкове державне соціальне страхування» (далі – Закон № 2464)</w:t>
      </w:r>
      <w:r w:rsidR="00187B19">
        <w:rPr>
          <w:rFonts w:eastAsia="Calibri"/>
          <w:color w:val="000000"/>
          <w:sz w:val="28"/>
          <w:szCs w:val="28"/>
          <w:lang w:val="uk-UA" w:eastAsia="en-US"/>
        </w:rPr>
        <w:t>.</w:t>
      </w:r>
    </w:p>
    <w:p w:rsidR="00197303" w:rsidRPr="00985590" w:rsidRDefault="00197303" w:rsidP="00197303">
      <w:pPr>
        <w:pStyle w:val="a3"/>
        <w:tabs>
          <w:tab w:val="left" w:pos="0"/>
        </w:tabs>
        <w:spacing w:before="0" w:beforeAutospacing="0" w:after="0" w:afterAutospacing="0"/>
        <w:ind w:firstLine="567"/>
        <w:jc w:val="both"/>
        <w:rPr>
          <w:rFonts w:ascii="Times New Roman" w:eastAsia="SimSun" w:hAnsi="Times New Roman" w:cs="Times New Roman"/>
          <w:bCs/>
          <w:spacing w:val="-6"/>
          <w:sz w:val="28"/>
          <w:szCs w:val="28"/>
          <w:lang w:eastAsia="zh-CN"/>
        </w:rPr>
      </w:pPr>
      <w:r w:rsidRPr="00985590">
        <w:rPr>
          <w:rFonts w:ascii="Times New Roman" w:eastAsia="SimSun" w:hAnsi="Times New Roman" w:cs="Times New Roman"/>
          <w:bCs/>
          <w:spacing w:val="-6"/>
          <w:sz w:val="28"/>
          <w:szCs w:val="28"/>
          <w:lang w:eastAsia="zh-CN"/>
        </w:rPr>
        <w:t xml:space="preserve">Відповідно до п. 1 частини першої ст. 4 Закону № 2464 платниками єдиного внеску є роботодавці, зокрема, підприємства, установи та організації, інші юридичні особи, утворені відповідно до законодавства України, незалежно від форми власності, виду діяльності та господарювання, які використовують працю фізичних осіб на умовах трудового договору (контракту) або на інших умовах, передбачених законодавством, чи за цивільно-правовими договорами. </w:t>
      </w:r>
    </w:p>
    <w:p w:rsidR="00197303" w:rsidRPr="00985590" w:rsidRDefault="00197303" w:rsidP="00197303">
      <w:pPr>
        <w:pStyle w:val="a3"/>
        <w:tabs>
          <w:tab w:val="left" w:pos="0"/>
        </w:tabs>
        <w:spacing w:before="0" w:beforeAutospacing="0" w:after="0" w:afterAutospacing="0"/>
        <w:ind w:firstLine="567"/>
        <w:jc w:val="both"/>
        <w:rPr>
          <w:rFonts w:ascii="Times New Roman" w:eastAsia="SimSun" w:hAnsi="Times New Roman" w:cs="Times New Roman"/>
          <w:bCs/>
          <w:spacing w:val="-6"/>
          <w:sz w:val="28"/>
          <w:szCs w:val="28"/>
          <w:lang w:eastAsia="zh-CN"/>
        </w:rPr>
      </w:pPr>
      <w:r w:rsidRPr="00985590">
        <w:rPr>
          <w:rFonts w:ascii="Times New Roman" w:eastAsia="SimSun" w:hAnsi="Times New Roman" w:cs="Times New Roman"/>
          <w:bCs/>
          <w:spacing w:val="-6"/>
          <w:sz w:val="28"/>
          <w:szCs w:val="28"/>
          <w:lang w:eastAsia="zh-CN"/>
        </w:rPr>
        <w:t xml:space="preserve">Базою нарахування єдиного внеску для роботодавців є сума нарахованої кожній застрахованій особі заробітної плати за видами виплат, які включають основну та додаткову заробітну плату, інші заохочувальні та компенсаційні виплати, у тому числі в натуральній формі, що визначаються відповідно до Закону України </w:t>
      </w:r>
      <w:r w:rsidR="006E60DF">
        <w:rPr>
          <w:rFonts w:ascii="Times New Roman" w:eastAsia="SimSun" w:hAnsi="Times New Roman" w:cs="Times New Roman"/>
          <w:bCs/>
          <w:spacing w:val="-6"/>
          <w:sz w:val="28"/>
          <w:szCs w:val="28"/>
          <w:lang w:eastAsia="zh-CN"/>
        </w:rPr>
        <w:br/>
      </w:r>
      <w:r w:rsidRPr="00985590">
        <w:rPr>
          <w:rFonts w:ascii="Times New Roman" w:eastAsia="SimSun" w:hAnsi="Times New Roman" w:cs="Times New Roman"/>
          <w:bCs/>
          <w:spacing w:val="-6"/>
          <w:sz w:val="28"/>
          <w:szCs w:val="28"/>
          <w:lang w:eastAsia="zh-CN"/>
        </w:rPr>
        <w:t>від 24 березня 1995 року № 108/95-ВР «Про оплату праці», та сума винагороди фізичним особам за виконання робіт (надання послуг) за цивільно-правовими договорами (п. 1 частини першої ст. 7 Закону № 2464).</w:t>
      </w:r>
    </w:p>
    <w:p w:rsidR="00197303" w:rsidRPr="003B2933" w:rsidRDefault="00197303" w:rsidP="00197303">
      <w:pPr>
        <w:ind w:firstLine="567"/>
        <w:jc w:val="both"/>
        <w:rPr>
          <w:rFonts w:eastAsia="Calibri"/>
          <w:sz w:val="28"/>
          <w:szCs w:val="28"/>
          <w:lang w:val="uk-UA" w:eastAsia="en-US"/>
        </w:rPr>
      </w:pPr>
      <w:r w:rsidRPr="003B2933">
        <w:rPr>
          <w:sz w:val="28"/>
          <w:szCs w:val="28"/>
          <w:lang w:val="uk-UA"/>
        </w:rPr>
        <w:t>Згідно з частиною сьомою ст. 7 Закону № 2464 передбачено, що Перелік видів виплат, на які не нараховується єдиний внесок, затверджується Кабінетом Міністрів України.</w:t>
      </w:r>
    </w:p>
    <w:p w:rsidR="00197303" w:rsidRPr="003B2933" w:rsidRDefault="00197303" w:rsidP="00197303">
      <w:pPr>
        <w:ind w:firstLine="567"/>
        <w:jc w:val="both"/>
        <w:rPr>
          <w:sz w:val="28"/>
          <w:szCs w:val="28"/>
          <w:lang w:val="uk-UA"/>
        </w:rPr>
      </w:pPr>
      <w:r w:rsidRPr="003B2933">
        <w:rPr>
          <w:sz w:val="28"/>
          <w:szCs w:val="28"/>
          <w:lang w:val="uk-UA"/>
        </w:rPr>
        <w:t>Постановою Кабінету Міністрів України від 22 грудня 2010 року № 1170 затверджено Перелік видів виплат, що здійснюються за рахунок коштів роботодавців, на які не нараховується єдиний внесок, який містить, зокрема, витрати на перевезення працівників до місця роботи як власним так і орендованим транспортом(крім оплати праці водіїв).</w:t>
      </w:r>
    </w:p>
    <w:p w:rsidR="00197303" w:rsidRPr="00985590" w:rsidRDefault="00197303" w:rsidP="00197303">
      <w:pPr>
        <w:pStyle w:val="af"/>
        <w:ind w:firstLine="567"/>
        <w:jc w:val="both"/>
        <w:rPr>
          <w:rFonts w:ascii="Times New Roman" w:hAnsi="Times New Roman" w:cs="Times New Roman"/>
          <w:color w:val="000000"/>
          <w:sz w:val="28"/>
          <w:szCs w:val="28"/>
          <w:lang w:val="uk-UA"/>
        </w:rPr>
      </w:pPr>
      <w:r w:rsidRPr="00985590">
        <w:rPr>
          <w:rFonts w:ascii="Times New Roman" w:hAnsi="Times New Roman" w:cs="Times New Roman"/>
          <w:color w:val="000000"/>
          <w:sz w:val="28"/>
          <w:szCs w:val="28"/>
          <w:lang w:val="uk-UA"/>
        </w:rPr>
        <w:t xml:space="preserve">Враховуючи викладене, у разі якщо юридичною особою (роботодавцем) </w:t>
      </w:r>
      <w:r w:rsidRPr="00985590">
        <w:rPr>
          <w:rFonts w:ascii="Times New Roman" w:hAnsi="Times New Roman" w:cs="Times New Roman"/>
          <w:color w:val="000000"/>
          <w:sz w:val="28"/>
          <w:szCs w:val="28"/>
          <w:lang w:val="uk-UA"/>
        </w:rPr>
        <w:br/>
      </w:r>
      <w:r w:rsidRPr="00985590">
        <w:rPr>
          <w:rFonts w:ascii="Times New Roman" w:hAnsi="Times New Roman" w:cs="Times New Roman"/>
          <w:sz w:val="28"/>
          <w:szCs w:val="28"/>
          <w:lang w:val="uk-UA"/>
        </w:rPr>
        <w:t>за власний рахунок оплачуються послуги</w:t>
      </w:r>
      <w:r w:rsidRPr="00985590">
        <w:rPr>
          <w:rFonts w:ascii="Times New Roman" w:hAnsi="Times New Roman" w:cs="Times New Roman"/>
          <w:sz w:val="28"/>
          <w:szCs w:val="28"/>
          <w:lang w:val="ru-RU"/>
        </w:rPr>
        <w:t xml:space="preserve"> </w:t>
      </w:r>
      <w:r w:rsidRPr="00985590">
        <w:rPr>
          <w:rFonts w:ascii="Times New Roman" w:hAnsi="Times New Roman" w:cs="Times New Roman"/>
          <w:sz w:val="28"/>
          <w:szCs w:val="28"/>
          <w:lang w:val="uk-UA"/>
        </w:rPr>
        <w:t>з перевезення працівників до місця роботи та з роботи, на підставі укладеного Договору з перевізником</w:t>
      </w:r>
      <w:r w:rsidRPr="00985590">
        <w:rPr>
          <w:rFonts w:ascii="Times New Roman" w:hAnsi="Times New Roman" w:cs="Times New Roman"/>
          <w:color w:val="000000"/>
          <w:sz w:val="28"/>
          <w:szCs w:val="28"/>
          <w:lang w:val="uk-UA"/>
        </w:rPr>
        <w:t xml:space="preserve">, то дохід </w:t>
      </w:r>
      <w:r w:rsidRPr="00985590">
        <w:rPr>
          <w:rFonts w:ascii="Times New Roman" w:hAnsi="Times New Roman" w:cs="Times New Roman"/>
          <w:color w:val="000000"/>
          <w:sz w:val="28"/>
          <w:szCs w:val="28"/>
          <w:lang w:val="uk-UA"/>
        </w:rPr>
        <w:br/>
        <w:t>у вигляді вартості наданих послуг не є базою нарахування єдиним внеском.</w:t>
      </w:r>
    </w:p>
    <w:p w:rsidR="00F165DC" w:rsidRPr="00F165DC" w:rsidRDefault="00F165DC" w:rsidP="00F165DC">
      <w:pPr>
        <w:widowControl w:val="0"/>
        <w:ind w:firstLine="567"/>
        <w:jc w:val="both"/>
        <w:rPr>
          <w:sz w:val="28"/>
          <w:szCs w:val="28"/>
          <w:lang w:val="uk-UA" w:eastAsia="en-US"/>
        </w:rPr>
      </w:pPr>
      <w:r w:rsidRPr="00985590">
        <w:rPr>
          <w:sz w:val="28"/>
          <w:szCs w:val="28"/>
          <w:lang w:val="uk-UA" w:eastAsia="en-US"/>
        </w:rPr>
        <w:t>Відповідно до п. 52.2 ст. 52 Кодексу індивідуальна податкова консультація має індивідуальний характер і може</w:t>
      </w:r>
      <w:r w:rsidRPr="00F165DC">
        <w:rPr>
          <w:sz w:val="28"/>
          <w:szCs w:val="28"/>
          <w:lang w:val="uk-UA" w:eastAsia="en-US"/>
        </w:rPr>
        <w:t xml:space="preserve"> використовуватися виключно платником податків, якому надано таку консультацію.</w:t>
      </w:r>
    </w:p>
    <w:p w:rsidR="00F165DC" w:rsidRPr="00F165DC" w:rsidRDefault="00F165DC" w:rsidP="00F165DC">
      <w:pPr>
        <w:widowControl w:val="0"/>
        <w:jc w:val="both"/>
        <w:rPr>
          <w:sz w:val="28"/>
          <w:szCs w:val="28"/>
          <w:lang w:val="uk-UA" w:eastAsia="en-US"/>
        </w:rPr>
      </w:pPr>
    </w:p>
    <w:sectPr w:rsidR="00F165DC" w:rsidRPr="00F165DC" w:rsidSect="00684E42">
      <w:headerReference w:type="even" r:id="rId8"/>
      <w:headerReference w:type="default" r:id="rId9"/>
      <w:pgSz w:w="11906" w:h="16838"/>
      <w:pgMar w:top="851" w:right="567" w:bottom="1701" w:left="1701" w:header="425"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9DA" w:rsidRDefault="00A309DA">
      <w:r>
        <w:separator/>
      </w:r>
    </w:p>
  </w:endnote>
  <w:endnote w:type="continuationSeparator" w:id="0">
    <w:p w:rsidR="00A309DA" w:rsidRDefault="00A3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9DA" w:rsidRDefault="00A309DA">
      <w:r>
        <w:separator/>
      </w:r>
    </w:p>
  </w:footnote>
  <w:footnote w:type="continuationSeparator" w:id="0">
    <w:p w:rsidR="00A309DA" w:rsidRDefault="00A309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7A" w:rsidRPr="005051FF" w:rsidRDefault="007620E6">
    <w:pPr>
      <w:pStyle w:val="a4"/>
      <w:rPr>
        <w:lang w:val="uk-UA"/>
      </w:rPr>
    </w:pPr>
    <w:r>
      <w:rPr>
        <w:lang w:val="uk-UA"/>
      </w:rPr>
      <w:t xml:space="preserve">                                                                               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932361"/>
      <w:docPartObj>
        <w:docPartGallery w:val="Page Numbers (Top of Page)"/>
        <w:docPartUnique/>
      </w:docPartObj>
    </w:sdtPr>
    <w:sdtEndPr/>
    <w:sdtContent>
      <w:p w:rsidR="008D18F5" w:rsidRPr="00F32502" w:rsidRDefault="00741612" w:rsidP="00F32502">
        <w:pPr>
          <w:pStyle w:val="a4"/>
          <w:jc w:val="center"/>
        </w:pPr>
        <w:r>
          <w:fldChar w:fldCharType="begin"/>
        </w:r>
        <w:r w:rsidR="008D18F5">
          <w:instrText>PAGE   \* MERGEFORMAT</w:instrText>
        </w:r>
        <w:r>
          <w:fldChar w:fldCharType="separate"/>
        </w:r>
        <w:r w:rsidR="005C3673">
          <w:rPr>
            <w:noProof/>
          </w:rPr>
          <w:t>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53A0E"/>
    <w:multiLevelType w:val="hybridMultilevel"/>
    <w:tmpl w:val="7A046F6A"/>
    <w:lvl w:ilvl="0" w:tplc="22102694">
      <w:numFmt w:val="bullet"/>
      <w:lvlText w:val="-"/>
      <w:lvlJc w:val="left"/>
      <w:pPr>
        <w:ind w:left="927" w:hanging="360"/>
      </w:pPr>
      <w:rPr>
        <w:rFonts w:ascii="Times New Roman" w:eastAsiaTheme="minorHAnsi" w:hAnsi="Times New Roman" w:cs="Times New Roman" w:hint="default"/>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2B2860F4"/>
    <w:multiLevelType w:val="hybridMultilevel"/>
    <w:tmpl w:val="C81A4504"/>
    <w:lvl w:ilvl="0" w:tplc="76841DCE">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ED404EC"/>
    <w:multiLevelType w:val="hybridMultilevel"/>
    <w:tmpl w:val="A36AB2D4"/>
    <w:lvl w:ilvl="0" w:tplc="68389E0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51810CE"/>
    <w:multiLevelType w:val="hybridMultilevel"/>
    <w:tmpl w:val="CBA88A78"/>
    <w:lvl w:ilvl="0" w:tplc="9E3E242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DB"/>
    <w:rsid w:val="0000540C"/>
    <w:rsid w:val="00006114"/>
    <w:rsid w:val="0000768F"/>
    <w:rsid w:val="00021960"/>
    <w:rsid w:val="000232A2"/>
    <w:rsid w:val="00024599"/>
    <w:rsid w:val="0002602D"/>
    <w:rsid w:val="00027034"/>
    <w:rsid w:val="00033BF2"/>
    <w:rsid w:val="00034417"/>
    <w:rsid w:val="00035A51"/>
    <w:rsid w:val="00043F85"/>
    <w:rsid w:val="00051339"/>
    <w:rsid w:val="000525DD"/>
    <w:rsid w:val="0005530F"/>
    <w:rsid w:val="00062380"/>
    <w:rsid w:val="00063783"/>
    <w:rsid w:val="00067C10"/>
    <w:rsid w:val="0007235E"/>
    <w:rsid w:val="000724D5"/>
    <w:rsid w:val="00072CAE"/>
    <w:rsid w:val="0007380C"/>
    <w:rsid w:val="00076825"/>
    <w:rsid w:val="00084754"/>
    <w:rsid w:val="00085465"/>
    <w:rsid w:val="00086AD2"/>
    <w:rsid w:val="00090A73"/>
    <w:rsid w:val="000954DF"/>
    <w:rsid w:val="00096CE2"/>
    <w:rsid w:val="000A4C08"/>
    <w:rsid w:val="000B0054"/>
    <w:rsid w:val="000B4844"/>
    <w:rsid w:val="000C209D"/>
    <w:rsid w:val="000C2616"/>
    <w:rsid w:val="000C79AC"/>
    <w:rsid w:val="000C7A7D"/>
    <w:rsid w:val="000D171C"/>
    <w:rsid w:val="000D36EA"/>
    <w:rsid w:val="000E3BBC"/>
    <w:rsid w:val="000E4175"/>
    <w:rsid w:val="000F0565"/>
    <w:rsid w:val="000F2179"/>
    <w:rsid w:val="000F25BC"/>
    <w:rsid w:val="000F3035"/>
    <w:rsid w:val="000F6667"/>
    <w:rsid w:val="00100C15"/>
    <w:rsid w:val="0010101C"/>
    <w:rsid w:val="001011E7"/>
    <w:rsid w:val="00104B87"/>
    <w:rsid w:val="00115F96"/>
    <w:rsid w:val="00126EC5"/>
    <w:rsid w:val="00130D7E"/>
    <w:rsid w:val="001345EB"/>
    <w:rsid w:val="00134724"/>
    <w:rsid w:val="0014239A"/>
    <w:rsid w:val="00145C27"/>
    <w:rsid w:val="0016419B"/>
    <w:rsid w:val="00164659"/>
    <w:rsid w:val="00177356"/>
    <w:rsid w:val="00181786"/>
    <w:rsid w:val="00187B19"/>
    <w:rsid w:val="00192EBF"/>
    <w:rsid w:val="00197303"/>
    <w:rsid w:val="001A064F"/>
    <w:rsid w:val="001A2518"/>
    <w:rsid w:val="001A2602"/>
    <w:rsid w:val="001A6539"/>
    <w:rsid w:val="001A6CB4"/>
    <w:rsid w:val="001B3840"/>
    <w:rsid w:val="001B4622"/>
    <w:rsid w:val="001B5FDA"/>
    <w:rsid w:val="001C00E5"/>
    <w:rsid w:val="001C6201"/>
    <w:rsid w:val="001C6887"/>
    <w:rsid w:val="001C6DF7"/>
    <w:rsid w:val="001D4DF6"/>
    <w:rsid w:val="001E025B"/>
    <w:rsid w:val="001E1109"/>
    <w:rsid w:val="001E2A82"/>
    <w:rsid w:val="001E4C39"/>
    <w:rsid w:val="001F0097"/>
    <w:rsid w:val="001F571B"/>
    <w:rsid w:val="00201A13"/>
    <w:rsid w:val="0021222A"/>
    <w:rsid w:val="00212835"/>
    <w:rsid w:val="00230FF9"/>
    <w:rsid w:val="00242583"/>
    <w:rsid w:val="002435C7"/>
    <w:rsid w:val="002445A1"/>
    <w:rsid w:val="0025010C"/>
    <w:rsid w:val="00253643"/>
    <w:rsid w:val="0025422E"/>
    <w:rsid w:val="00262637"/>
    <w:rsid w:val="0026365D"/>
    <w:rsid w:val="002773D6"/>
    <w:rsid w:val="0027787F"/>
    <w:rsid w:val="002935F9"/>
    <w:rsid w:val="00293D07"/>
    <w:rsid w:val="002A66C8"/>
    <w:rsid w:val="002B0591"/>
    <w:rsid w:val="002B0F4A"/>
    <w:rsid w:val="002C0D06"/>
    <w:rsid w:val="002C49E6"/>
    <w:rsid w:val="002D2B4E"/>
    <w:rsid w:val="002D2B64"/>
    <w:rsid w:val="002D36D4"/>
    <w:rsid w:val="002E3EA2"/>
    <w:rsid w:val="003034F7"/>
    <w:rsid w:val="00314CD6"/>
    <w:rsid w:val="00343A11"/>
    <w:rsid w:val="00343E3B"/>
    <w:rsid w:val="00347644"/>
    <w:rsid w:val="0035192F"/>
    <w:rsid w:val="003544E9"/>
    <w:rsid w:val="0035606D"/>
    <w:rsid w:val="003560FE"/>
    <w:rsid w:val="00362DA3"/>
    <w:rsid w:val="00365F0C"/>
    <w:rsid w:val="00367CB0"/>
    <w:rsid w:val="003747ED"/>
    <w:rsid w:val="00377EE7"/>
    <w:rsid w:val="00380A40"/>
    <w:rsid w:val="00382A1B"/>
    <w:rsid w:val="00384A43"/>
    <w:rsid w:val="003851A2"/>
    <w:rsid w:val="00391B9B"/>
    <w:rsid w:val="00393E9B"/>
    <w:rsid w:val="0039576C"/>
    <w:rsid w:val="003A2CB9"/>
    <w:rsid w:val="003B0360"/>
    <w:rsid w:val="003B1043"/>
    <w:rsid w:val="003B2933"/>
    <w:rsid w:val="003B6E58"/>
    <w:rsid w:val="003B764C"/>
    <w:rsid w:val="003C0263"/>
    <w:rsid w:val="003C2375"/>
    <w:rsid w:val="003C2D5B"/>
    <w:rsid w:val="003D0547"/>
    <w:rsid w:val="003D6FD2"/>
    <w:rsid w:val="003D7FC7"/>
    <w:rsid w:val="003E18FC"/>
    <w:rsid w:val="003E79C4"/>
    <w:rsid w:val="003F256E"/>
    <w:rsid w:val="003F3163"/>
    <w:rsid w:val="003F5DEA"/>
    <w:rsid w:val="003F618D"/>
    <w:rsid w:val="003F7AE3"/>
    <w:rsid w:val="0040201A"/>
    <w:rsid w:val="004045AD"/>
    <w:rsid w:val="00413140"/>
    <w:rsid w:val="0041598E"/>
    <w:rsid w:val="0041782C"/>
    <w:rsid w:val="0042013B"/>
    <w:rsid w:val="00424F8F"/>
    <w:rsid w:val="0042639B"/>
    <w:rsid w:val="004270D4"/>
    <w:rsid w:val="004305D7"/>
    <w:rsid w:val="004341F8"/>
    <w:rsid w:val="00446307"/>
    <w:rsid w:val="0045306F"/>
    <w:rsid w:val="00453FF6"/>
    <w:rsid w:val="00470ECF"/>
    <w:rsid w:val="00470F74"/>
    <w:rsid w:val="0047121B"/>
    <w:rsid w:val="0047275A"/>
    <w:rsid w:val="00474959"/>
    <w:rsid w:val="00475C22"/>
    <w:rsid w:val="00480755"/>
    <w:rsid w:val="00482A2B"/>
    <w:rsid w:val="00484A77"/>
    <w:rsid w:val="004870E3"/>
    <w:rsid w:val="00487D4D"/>
    <w:rsid w:val="004916E3"/>
    <w:rsid w:val="004957D7"/>
    <w:rsid w:val="00496875"/>
    <w:rsid w:val="004A0AD8"/>
    <w:rsid w:val="004A5C8E"/>
    <w:rsid w:val="004B0463"/>
    <w:rsid w:val="004B25FB"/>
    <w:rsid w:val="004B29D8"/>
    <w:rsid w:val="004C01CE"/>
    <w:rsid w:val="004C6E64"/>
    <w:rsid w:val="004C6EE8"/>
    <w:rsid w:val="004D1970"/>
    <w:rsid w:val="004D525A"/>
    <w:rsid w:val="004D6D5D"/>
    <w:rsid w:val="004D759C"/>
    <w:rsid w:val="004E37C0"/>
    <w:rsid w:val="004E460C"/>
    <w:rsid w:val="004F6555"/>
    <w:rsid w:val="00504CF3"/>
    <w:rsid w:val="00505294"/>
    <w:rsid w:val="0051049B"/>
    <w:rsid w:val="00515652"/>
    <w:rsid w:val="00516DB1"/>
    <w:rsid w:val="005171B8"/>
    <w:rsid w:val="00526619"/>
    <w:rsid w:val="0052774F"/>
    <w:rsid w:val="005316EA"/>
    <w:rsid w:val="00533460"/>
    <w:rsid w:val="00540C0C"/>
    <w:rsid w:val="00543537"/>
    <w:rsid w:val="00546432"/>
    <w:rsid w:val="005533E2"/>
    <w:rsid w:val="00557799"/>
    <w:rsid w:val="00561EB0"/>
    <w:rsid w:val="005800CE"/>
    <w:rsid w:val="00582167"/>
    <w:rsid w:val="005837A2"/>
    <w:rsid w:val="00587500"/>
    <w:rsid w:val="005916C0"/>
    <w:rsid w:val="00591EF9"/>
    <w:rsid w:val="005940BC"/>
    <w:rsid w:val="00594B6C"/>
    <w:rsid w:val="005958E1"/>
    <w:rsid w:val="005A4F80"/>
    <w:rsid w:val="005B5A0A"/>
    <w:rsid w:val="005B7506"/>
    <w:rsid w:val="005C1944"/>
    <w:rsid w:val="005C3673"/>
    <w:rsid w:val="005D7DB9"/>
    <w:rsid w:val="005E17F4"/>
    <w:rsid w:val="005E22E5"/>
    <w:rsid w:val="005E7FD4"/>
    <w:rsid w:val="005F189A"/>
    <w:rsid w:val="005F6BBE"/>
    <w:rsid w:val="005F6EBC"/>
    <w:rsid w:val="00600E02"/>
    <w:rsid w:val="00601239"/>
    <w:rsid w:val="00602E5D"/>
    <w:rsid w:val="00602E7A"/>
    <w:rsid w:val="0060631A"/>
    <w:rsid w:val="006113EB"/>
    <w:rsid w:val="00617F11"/>
    <w:rsid w:val="006302F1"/>
    <w:rsid w:val="00635ED8"/>
    <w:rsid w:val="006367BF"/>
    <w:rsid w:val="00643BE5"/>
    <w:rsid w:val="00645420"/>
    <w:rsid w:val="00651B33"/>
    <w:rsid w:val="00652DDE"/>
    <w:rsid w:val="0065544A"/>
    <w:rsid w:val="00663E16"/>
    <w:rsid w:val="006646D6"/>
    <w:rsid w:val="00666311"/>
    <w:rsid w:val="00667346"/>
    <w:rsid w:val="0067467C"/>
    <w:rsid w:val="00684759"/>
    <w:rsid w:val="00684E42"/>
    <w:rsid w:val="00685EAB"/>
    <w:rsid w:val="006863C0"/>
    <w:rsid w:val="00687BCF"/>
    <w:rsid w:val="00687D87"/>
    <w:rsid w:val="00687E49"/>
    <w:rsid w:val="00695C46"/>
    <w:rsid w:val="006A4197"/>
    <w:rsid w:val="006B0BFF"/>
    <w:rsid w:val="006B253A"/>
    <w:rsid w:val="006B272B"/>
    <w:rsid w:val="006B5119"/>
    <w:rsid w:val="006B72F4"/>
    <w:rsid w:val="006C4F7F"/>
    <w:rsid w:val="006C7DDE"/>
    <w:rsid w:val="006C7E8F"/>
    <w:rsid w:val="006D5A5C"/>
    <w:rsid w:val="006D5B42"/>
    <w:rsid w:val="006E449B"/>
    <w:rsid w:val="006E60DF"/>
    <w:rsid w:val="006E739A"/>
    <w:rsid w:val="006F67C7"/>
    <w:rsid w:val="006F796D"/>
    <w:rsid w:val="0070310E"/>
    <w:rsid w:val="0071062C"/>
    <w:rsid w:val="00710BCC"/>
    <w:rsid w:val="00716302"/>
    <w:rsid w:val="00716CA0"/>
    <w:rsid w:val="00717BE2"/>
    <w:rsid w:val="00720D6D"/>
    <w:rsid w:val="00720EF9"/>
    <w:rsid w:val="00733037"/>
    <w:rsid w:val="007346DB"/>
    <w:rsid w:val="00741612"/>
    <w:rsid w:val="00741E07"/>
    <w:rsid w:val="00756E64"/>
    <w:rsid w:val="00760EBC"/>
    <w:rsid w:val="007620E6"/>
    <w:rsid w:val="00763F0E"/>
    <w:rsid w:val="00764274"/>
    <w:rsid w:val="00764D4D"/>
    <w:rsid w:val="007803A6"/>
    <w:rsid w:val="00780D8A"/>
    <w:rsid w:val="0078654F"/>
    <w:rsid w:val="00787905"/>
    <w:rsid w:val="00791834"/>
    <w:rsid w:val="007A0AB0"/>
    <w:rsid w:val="007A2719"/>
    <w:rsid w:val="007B3332"/>
    <w:rsid w:val="007B3C73"/>
    <w:rsid w:val="007C0B86"/>
    <w:rsid w:val="007C49BE"/>
    <w:rsid w:val="007C6CE2"/>
    <w:rsid w:val="007D5C77"/>
    <w:rsid w:val="007D6BF8"/>
    <w:rsid w:val="007E0494"/>
    <w:rsid w:val="007E2FEB"/>
    <w:rsid w:val="007E6D3F"/>
    <w:rsid w:val="007F2308"/>
    <w:rsid w:val="007F727E"/>
    <w:rsid w:val="00807B12"/>
    <w:rsid w:val="00810B9D"/>
    <w:rsid w:val="008120B0"/>
    <w:rsid w:val="00817150"/>
    <w:rsid w:val="008218A8"/>
    <w:rsid w:val="008369E9"/>
    <w:rsid w:val="00837020"/>
    <w:rsid w:val="00837BB7"/>
    <w:rsid w:val="00841190"/>
    <w:rsid w:val="008442B1"/>
    <w:rsid w:val="00844FA8"/>
    <w:rsid w:val="00845095"/>
    <w:rsid w:val="0084576D"/>
    <w:rsid w:val="0084789A"/>
    <w:rsid w:val="00854C51"/>
    <w:rsid w:val="00857BFB"/>
    <w:rsid w:val="00857C43"/>
    <w:rsid w:val="00862840"/>
    <w:rsid w:val="00864C61"/>
    <w:rsid w:val="00873C0D"/>
    <w:rsid w:val="00877D52"/>
    <w:rsid w:val="00883575"/>
    <w:rsid w:val="008903DD"/>
    <w:rsid w:val="00891363"/>
    <w:rsid w:val="008966AA"/>
    <w:rsid w:val="008A1044"/>
    <w:rsid w:val="008A11B7"/>
    <w:rsid w:val="008A3271"/>
    <w:rsid w:val="008A3EE4"/>
    <w:rsid w:val="008B4DA8"/>
    <w:rsid w:val="008C2E25"/>
    <w:rsid w:val="008D18F5"/>
    <w:rsid w:val="008D2A59"/>
    <w:rsid w:val="008D530D"/>
    <w:rsid w:val="008E2966"/>
    <w:rsid w:val="008E50A1"/>
    <w:rsid w:val="008F18BA"/>
    <w:rsid w:val="008F519B"/>
    <w:rsid w:val="008F5797"/>
    <w:rsid w:val="0090511B"/>
    <w:rsid w:val="00912C39"/>
    <w:rsid w:val="00915B99"/>
    <w:rsid w:val="00917223"/>
    <w:rsid w:val="009176E0"/>
    <w:rsid w:val="009177BE"/>
    <w:rsid w:val="00932558"/>
    <w:rsid w:val="009365A2"/>
    <w:rsid w:val="00936913"/>
    <w:rsid w:val="00940224"/>
    <w:rsid w:val="009468D8"/>
    <w:rsid w:val="009502C5"/>
    <w:rsid w:val="00950CCC"/>
    <w:rsid w:val="0095240C"/>
    <w:rsid w:val="0095270D"/>
    <w:rsid w:val="0095731D"/>
    <w:rsid w:val="00962020"/>
    <w:rsid w:val="009654B3"/>
    <w:rsid w:val="009654EC"/>
    <w:rsid w:val="009657FE"/>
    <w:rsid w:val="00970C1E"/>
    <w:rsid w:val="00971F3C"/>
    <w:rsid w:val="00974172"/>
    <w:rsid w:val="009814F4"/>
    <w:rsid w:val="0098229A"/>
    <w:rsid w:val="00985590"/>
    <w:rsid w:val="00985943"/>
    <w:rsid w:val="00993985"/>
    <w:rsid w:val="0099605C"/>
    <w:rsid w:val="009A18C2"/>
    <w:rsid w:val="009A6306"/>
    <w:rsid w:val="009A7B2E"/>
    <w:rsid w:val="009B2BE6"/>
    <w:rsid w:val="009B2DDA"/>
    <w:rsid w:val="009B3914"/>
    <w:rsid w:val="009B6C0A"/>
    <w:rsid w:val="009B7E95"/>
    <w:rsid w:val="009C4071"/>
    <w:rsid w:val="009C40C3"/>
    <w:rsid w:val="009C5692"/>
    <w:rsid w:val="009C7E1F"/>
    <w:rsid w:val="009D1E17"/>
    <w:rsid w:val="009D4C2D"/>
    <w:rsid w:val="009D7D25"/>
    <w:rsid w:val="009E0794"/>
    <w:rsid w:val="009E4A0F"/>
    <w:rsid w:val="009E4A42"/>
    <w:rsid w:val="009E75FD"/>
    <w:rsid w:val="009E76C5"/>
    <w:rsid w:val="009F1A1D"/>
    <w:rsid w:val="009F3C75"/>
    <w:rsid w:val="009F4D56"/>
    <w:rsid w:val="009F54E6"/>
    <w:rsid w:val="009F56DE"/>
    <w:rsid w:val="009F7790"/>
    <w:rsid w:val="00A123AF"/>
    <w:rsid w:val="00A15EB1"/>
    <w:rsid w:val="00A30870"/>
    <w:rsid w:val="00A309DA"/>
    <w:rsid w:val="00A33664"/>
    <w:rsid w:val="00A37613"/>
    <w:rsid w:val="00A419F4"/>
    <w:rsid w:val="00A524C8"/>
    <w:rsid w:val="00A57B3B"/>
    <w:rsid w:val="00A70EB0"/>
    <w:rsid w:val="00A71357"/>
    <w:rsid w:val="00A76D12"/>
    <w:rsid w:val="00A7758C"/>
    <w:rsid w:val="00A82242"/>
    <w:rsid w:val="00A82D7D"/>
    <w:rsid w:val="00A8494F"/>
    <w:rsid w:val="00A877D5"/>
    <w:rsid w:val="00A91D92"/>
    <w:rsid w:val="00A95CA1"/>
    <w:rsid w:val="00AA1487"/>
    <w:rsid w:val="00AA4C28"/>
    <w:rsid w:val="00AB5B18"/>
    <w:rsid w:val="00AB7712"/>
    <w:rsid w:val="00AC6178"/>
    <w:rsid w:val="00AC6376"/>
    <w:rsid w:val="00AD2669"/>
    <w:rsid w:val="00AD3FFB"/>
    <w:rsid w:val="00AD73AC"/>
    <w:rsid w:val="00AD79E3"/>
    <w:rsid w:val="00AE1AA7"/>
    <w:rsid w:val="00AE27D0"/>
    <w:rsid w:val="00AE3410"/>
    <w:rsid w:val="00AE4B9B"/>
    <w:rsid w:val="00AF4A92"/>
    <w:rsid w:val="00AF4B68"/>
    <w:rsid w:val="00AF4FD1"/>
    <w:rsid w:val="00B02C05"/>
    <w:rsid w:val="00B174C6"/>
    <w:rsid w:val="00B200BE"/>
    <w:rsid w:val="00B21681"/>
    <w:rsid w:val="00B223FB"/>
    <w:rsid w:val="00B32799"/>
    <w:rsid w:val="00B34398"/>
    <w:rsid w:val="00B35691"/>
    <w:rsid w:val="00B36117"/>
    <w:rsid w:val="00B44DDD"/>
    <w:rsid w:val="00B453F9"/>
    <w:rsid w:val="00B519A7"/>
    <w:rsid w:val="00B54DA9"/>
    <w:rsid w:val="00B609AA"/>
    <w:rsid w:val="00B61F9A"/>
    <w:rsid w:val="00B71A61"/>
    <w:rsid w:val="00B73B4D"/>
    <w:rsid w:val="00B74309"/>
    <w:rsid w:val="00B77579"/>
    <w:rsid w:val="00B805F5"/>
    <w:rsid w:val="00B80704"/>
    <w:rsid w:val="00B844FC"/>
    <w:rsid w:val="00B86153"/>
    <w:rsid w:val="00B87529"/>
    <w:rsid w:val="00B96E9B"/>
    <w:rsid w:val="00B9783C"/>
    <w:rsid w:val="00B97BE5"/>
    <w:rsid w:val="00BA3C18"/>
    <w:rsid w:val="00BA6004"/>
    <w:rsid w:val="00BB0D1E"/>
    <w:rsid w:val="00BB2AFC"/>
    <w:rsid w:val="00BB3191"/>
    <w:rsid w:val="00BC100F"/>
    <w:rsid w:val="00BC1C43"/>
    <w:rsid w:val="00BC4686"/>
    <w:rsid w:val="00BC5420"/>
    <w:rsid w:val="00BC78A3"/>
    <w:rsid w:val="00BE0F5C"/>
    <w:rsid w:val="00BE1148"/>
    <w:rsid w:val="00BF21BC"/>
    <w:rsid w:val="00BF315E"/>
    <w:rsid w:val="00C0407F"/>
    <w:rsid w:val="00C05D82"/>
    <w:rsid w:val="00C1032D"/>
    <w:rsid w:val="00C14383"/>
    <w:rsid w:val="00C14578"/>
    <w:rsid w:val="00C146CB"/>
    <w:rsid w:val="00C168DD"/>
    <w:rsid w:val="00C23A79"/>
    <w:rsid w:val="00C27C58"/>
    <w:rsid w:val="00C43E44"/>
    <w:rsid w:val="00C467D8"/>
    <w:rsid w:val="00C61446"/>
    <w:rsid w:val="00C6193C"/>
    <w:rsid w:val="00C6398A"/>
    <w:rsid w:val="00C70A71"/>
    <w:rsid w:val="00C72850"/>
    <w:rsid w:val="00C7305F"/>
    <w:rsid w:val="00C8563F"/>
    <w:rsid w:val="00C94CAF"/>
    <w:rsid w:val="00C968E4"/>
    <w:rsid w:val="00CA040C"/>
    <w:rsid w:val="00CA3252"/>
    <w:rsid w:val="00CA395A"/>
    <w:rsid w:val="00CB514B"/>
    <w:rsid w:val="00CC115A"/>
    <w:rsid w:val="00CC23A8"/>
    <w:rsid w:val="00CD1C64"/>
    <w:rsid w:val="00CD72EC"/>
    <w:rsid w:val="00CD7566"/>
    <w:rsid w:val="00CE5785"/>
    <w:rsid w:val="00CF636C"/>
    <w:rsid w:val="00D01288"/>
    <w:rsid w:val="00D060F1"/>
    <w:rsid w:val="00D1209F"/>
    <w:rsid w:val="00D157FD"/>
    <w:rsid w:val="00D172C5"/>
    <w:rsid w:val="00D248B1"/>
    <w:rsid w:val="00D371CA"/>
    <w:rsid w:val="00D412E0"/>
    <w:rsid w:val="00D47FD8"/>
    <w:rsid w:val="00D53FF4"/>
    <w:rsid w:val="00D55D1B"/>
    <w:rsid w:val="00D571E5"/>
    <w:rsid w:val="00D601E5"/>
    <w:rsid w:val="00D63826"/>
    <w:rsid w:val="00D64192"/>
    <w:rsid w:val="00D66F21"/>
    <w:rsid w:val="00D67720"/>
    <w:rsid w:val="00D70A17"/>
    <w:rsid w:val="00D73E08"/>
    <w:rsid w:val="00D74DED"/>
    <w:rsid w:val="00D76976"/>
    <w:rsid w:val="00D83FE2"/>
    <w:rsid w:val="00D90A47"/>
    <w:rsid w:val="00D91A1F"/>
    <w:rsid w:val="00D92C42"/>
    <w:rsid w:val="00D94C7A"/>
    <w:rsid w:val="00DA66D3"/>
    <w:rsid w:val="00DB14DF"/>
    <w:rsid w:val="00DB4B92"/>
    <w:rsid w:val="00DB59AB"/>
    <w:rsid w:val="00DC10D5"/>
    <w:rsid w:val="00DC1EC3"/>
    <w:rsid w:val="00DC2EA8"/>
    <w:rsid w:val="00DC7F69"/>
    <w:rsid w:val="00DD228F"/>
    <w:rsid w:val="00DD6D1A"/>
    <w:rsid w:val="00DD778B"/>
    <w:rsid w:val="00DE1D8D"/>
    <w:rsid w:val="00DF5E5D"/>
    <w:rsid w:val="00E055EA"/>
    <w:rsid w:val="00E056BC"/>
    <w:rsid w:val="00E05DE2"/>
    <w:rsid w:val="00E06609"/>
    <w:rsid w:val="00E06C25"/>
    <w:rsid w:val="00E2506B"/>
    <w:rsid w:val="00E331D8"/>
    <w:rsid w:val="00E3633B"/>
    <w:rsid w:val="00E45A9A"/>
    <w:rsid w:val="00E4655A"/>
    <w:rsid w:val="00E46E15"/>
    <w:rsid w:val="00E537E8"/>
    <w:rsid w:val="00E54DFA"/>
    <w:rsid w:val="00E61234"/>
    <w:rsid w:val="00E63118"/>
    <w:rsid w:val="00E64619"/>
    <w:rsid w:val="00E65AE7"/>
    <w:rsid w:val="00E7012F"/>
    <w:rsid w:val="00E761AA"/>
    <w:rsid w:val="00E76F70"/>
    <w:rsid w:val="00E8129E"/>
    <w:rsid w:val="00E83006"/>
    <w:rsid w:val="00E86F23"/>
    <w:rsid w:val="00E872BA"/>
    <w:rsid w:val="00E90177"/>
    <w:rsid w:val="00E92DC3"/>
    <w:rsid w:val="00E9363F"/>
    <w:rsid w:val="00E96AC9"/>
    <w:rsid w:val="00EA5E63"/>
    <w:rsid w:val="00EA7651"/>
    <w:rsid w:val="00EB0838"/>
    <w:rsid w:val="00EB1BCD"/>
    <w:rsid w:val="00EC54CB"/>
    <w:rsid w:val="00EC5D3B"/>
    <w:rsid w:val="00ED0634"/>
    <w:rsid w:val="00ED4EDB"/>
    <w:rsid w:val="00ED5F69"/>
    <w:rsid w:val="00EF2172"/>
    <w:rsid w:val="00F005E7"/>
    <w:rsid w:val="00F01E72"/>
    <w:rsid w:val="00F029C6"/>
    <w:rsid w:val="00F0557C"/>
    <w:rsid w:val="00F07337"/>
    <w:rsid w:val="00F11296"/>
    <w:rsid w:val="00F119C2"/>
    <w:rsid w:val="00F165DC"/>
    <w:rsid w:val="00F21A6C"/>
    <w:rsid w:val="00F23104"/>
    <w:rsid w:val="00F27EBE"/>
    <w:rsid w:val="00F32502"/>
    <w:rsid w:val="00F32CE3"/>
    <w:rsid w:val="00F34A8A"/>
    <w:rsid w:val="00F351AC"/>
    <w:rsid w:val="00F35228"/>
    <w:rsid w:val="00F3546E"/>
    <w:rsid w:val="00F42857"/>
    <w:rsid w:val="00F469CF"/>
    <w:rsid w:val="00F472C4"/>
    <w:rsid w:val="00F61989"/>
    <w:rsid w:val="00F648D6"/>
    <w:rsid w:val="00F649FC"/>
    <w:rsid w:val="00F70939"/>
    <w:rsid w:val="00F70A27"/>
    <w:rsid w:val="00F747AC"/>
    <w:rsid w:val="00F7708D"/>
    <w:rsid w:val="00F77E67"/>
    <w:rsid w:val="00F823DD"/>
    <w:rsid w:val="00F84BF2"/>
    <w:rsid w:val="00F86D0C"/>
    <w:rsid w:val="00F92F09"/>
    <w:rsid w:val="00FA4545"/>
    <w:rsid w:val="00FA5AE3"/>
    <w:rsid w:val="00FC44D3"/>
    <w:rsid w:val="00FC671A"/>
    <w:rsid w:val="00FD6A82"/>
    <w:rsid w:val="00FE0776"/>
    <w:rsid w:val="00FE4CC6"/>
    <w:rsid w:val="00FE7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EEA37"/>
  <w15:docId w15:val="{E4087F98-7C1C-4A49-BFDF-3DC6A566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ED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Обычный (веб) Знак Знак,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 Знак1 Знак Знак"/>
    <w:link w:val="a3"/>
    <w:locked/>
    <w:rsid w:val="00ED4EDB"/>
    <w:rPr>
      <w:sz w:val="24"/>
      <w:szCs w:val="24"/>
      <w:lang w:eastAsia="ru-RU"/>
    </w:rPr>
  </w:style>
  <w:style w:type="paragraph" w:styleId="a3">
    <w:name w:val="Normal (Web)"/>
    <w:aliases w:val="Обычный (Web),Обычный (веб) Знак,Знак1 Знак,Знак1 Знак Знак,Знак1 Знак Знак Знак Знак Знак Знак Знак,Знак1 Знак Знак Знак,Знак1,Обычный (Web) Знак Знак Знак Знак Знак Знак, Знак1 Знак, Знак1,Обычный (веб)1, Знак1 Знак2,Знак1 Зн,З, Знак"/>
    <w:basedOn w:val="a"/>
    <w:link w:val="1"/>
    <w:qFormat/>
    <w:rsid w:val="00ED4EDB"/>
    <w:pPr>
      <w:spacing w:before="100" w:beforeAutospacing="1" w:after="100" w:afterAutospacing="1"/>
    </w:pPr>
    <w:rPr>
      <w:rFonts w:asciiTheme="minorHAnsi" w:eastAsiaTheme="minorHAnsi" w:hAnsiTheme="minorHAnsi" w:cstheme="minorBidi"/>
      <w:lang w:val="uk-UA"/>
    </w:rPr>
  </w:style>
  <w:style w:type="paragraph" w:customStyle="1" w:styleId="StyleZakonu">
    <w:name w:val="StyleZakonu"/>
    <w:basedOn w:val="a"/>
    <w:qFormat/>
    <w:rsid w:val="00ED4EDB"/>
    <w:pPr>
      <w:spacing w:after="60" w:line="220" w:lineRule="exact"/>
      <w:ind w:firstLine="284"/>
      <w:jc w:val="both"/>
    </w:pPr>
    <w:rPr>
      <w:sz w:val="20"/>
      <w:szCs w:val="20"/>
      <w:lang w:val="uk-UA"/>
    </w:rPr>
  </w:style>
  <w:style w:type="paragraph" w:styleId="a4">
    <w:name w:val="header"/>
    <w:basedOn w:val="a"/>
    <w:link w:val="a5"/>
    <w:uiPriority w:val="99"/>
    <w:unhideWhenUsed/>
    <w:rsid w:val="00ED4EDB"/>
    <w:pPr>
      <w:tabs>
        <w:tab w:val="center" w:pos="4677"/>
        <w:tab w:val="right" w:pos="9355"/>
      </w:tabs>
    </w:pPr>
  </w:style>
  <w:style w:type="character" w:customStyle="1" w:styleId="a5">
    <w:name w:val="Верхний колонтитул Знак"/>
    <w:basedOn w:val="a0"/>
    <w:link w:val="a4"/>
    <w:uiPriority w:val="99"/>
    <w:rsid w:val="00ED4EDB"/>
    <w:rPr>
      <w:rFonts w:ascii="Times New Roman" w:eastAsia="Times New Roman" w:hAnsi="Times New Roman" w:cs="Times New Roman"/>
      <w:sz w:val="24"/>
      <w:szCs w:val="24"/>
      <w:lang w:val="ru-RU" w:eastAsia="ru-RU"/>
    </w:rPr>
  </w:style>
  <w:style w:type="paragraph" w:customStyle="1" w:styleId="2">
    <w:name w:val="Знак2 Знак Знак Знак"/>
    <w:basedOn w:val="a"/>
    <w:rsid w:val="009F54E6"/>
    <w:rPr>
      <w:rFonts w:ascii="Verdana" w:hAnsi="Verdana" w:cs="Verdana"/>
      <w:sz w:val="20"/>
      <w:szCs w:val="20"/>
      <w:lang w:val="en-US" w:eastAsia="en-US"/>
    </w:rPr>
  </w:style>
  <w:style w:type="paragraph" w:customStyle="1" w:styleId="10">
    <w:name w:val="Знак Знак1 Знак Знак Знак Знак Знак Знак"/>
    <w:basedOn w:val="a"/>
    <w:rsid w:val="00B21681"/>
    <w:rPr>
      <w:rFonts w:ascii="Verdana" w:hAnsi="Verdana" w:cs="Verdana"/>
      <w:sz w:val="20"/>
      <w:szCs w:val="20"/>
      <w:lang w:val="en-US" w:eastAsia="en-US"/>
    </w:rPr>
  </w:style>
  <w:style w:type="paragraph" w:customStyle="1" w:styleId="11">
    <w:name w:val="Знак Знак1 Знак Знак Знак Знак Знак Знак Знак"/>
    <w:basedOn w:val="a"/>
    <w:rsid w:val="00C43E44"/>
    <w:rPr>
      <w:rFonts w:ascii="Verdana" w:hAnsi="Verdana" w:cs="Verdana"/>
      <w:sz w:val="20"/>
      <w:szCs w:val="20"/>
      <w:lang w:val="en-US" w:eastAsia="en-US"/>
    </w:rPr>
  </w:style>
  <w:style w:type="paragraph" w:customStyle="1" w:styleId="20">
    <w:name w:val="Знак2 Знак Знак Знак"/>
    <w:basedOn w:val="a"/>
    <w:rsid w:val="00C43E44"/>
    <w:rPr>
      <w:rFonts w:ascii="Verdana" w:hAnsi="Verdana" w:cs="Verdana"/>
      <w:sz w:val="20"/>
      <w:szCs w:val="20"/>
      <w:lang w:val="en-US" w:eastAsia="en-US"/>
    </w:rPr>
  </w:style>
  <w:style w:type="paragraph" w:styleId="a6">
    <w:name w:val="footer"/>
    <w:basedOn w:val="a"/>
    <w:link w:val="a7"/>
    <w:uiPriority w:val="99"/>
    <w:unhideWhenUsed/>
    <w:rsid w:val="008D18F5"/>
    <w:pPr>
      <w:tabs>
        <w:tab w:val="center" w:pos="4819"/>
        <w:tab w:val="right" w:pos="9639"/>
      </w:tabs>
    </w:pPr>
  </w:style>
  <w:style w:type="character" w:customStyle="1" w:styleId="a7">
    <w:name w:val="Нижний колонтитул Знак"/>
    <w:basedOn w:val="a0"/>
    <w:link w:val="a6"/>
    <w:uiPriority w:val="99"/>
    <w:rsid w:val="008D18F5"/>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C7305F"/>
    <w:rPr>
      <w:rFonts w:ascii="Tahoma" w:hAnsi="Tahoma" w:cs="Tahoma"/>
      <w:sz w:val="16"/>
      <w:szCs w:val="16"/>
    </w:rPr>
  </w:style>
  <w:style w:type="character" w:customStyle="1" w:styleId="a9">
    <w:name w:val="Текст выноски Знак"/>
    <w:basedOn w:val="a0"/>
    <w:link w:val="a8"/>
    <w:uiPriority w:val="99"/>
    <w:semiHidden/>
    <w:rsid w:val="00C7305F"/>
    <w:rPr>
      <w:rFonts w:ascii="Tahoma" w:eastAsia="Times New Roman" w:hAnsi="Tahoma" w:cs="Tahoma"/>
      <w:sz w:val="16"/>
      <w:szCs w:val="16"/>
      <w:lang w:val="ru-RU" w:eastAsia="ru-RU"/>
    </w:rPr>
  </w:style>
  <w:style w:type="paragraph" w:styleId="aa">
    <w:name w:val="List Paragraph"/>
    <w:basedOn w:val="a"/>
    <w:uiPriority w:val="34"/>
    <w:qFormat/>
    <w:rsid w:val="000C7A7D"/>
    <w:pPr>
      <w:spacing w:after="200" w:line="276" w:lineRule="auto"/>
      <w:ind w:left="720"/>
      <w:contextualSpacing/>
    </w:pPr>
    <w:rPr>
      <w:rFonts w:asciiTheme="minorHAnsi" w:eastAsiaTheme="minorHAnsi" w:hAnsiTheme="minorHAnsi" w:cstheme="minorBidi"/>
      <w:sz w:val="22"/>
      <w:szCs w:val="22"/>
      <w:lang w:val="uk-UA" w:eastAsia="en-US"/>
    </w:rPr>
  </w:style>
  <w:style w:type="paragraph" w:customStyle="1" w:styleId="21">
    <w:name w:val="Знак2 Знак Знак Знак Знак Знак Знак Знак Знак Знак Знак Знак Знак Знак"/>
    <w:basedOn w:val="a"/>
    <w:rsid w:val="0041782C"/>
    <w:rPr>
      <w:rFonts w:ascii="Verdana" w:hAnsi="Verdana" w:cs="Verdana"/>
      <w:lang w:val="en-US" w:eastAsia="en-US"/>
    </w:rPr>
  </w:style>
  <w:style w:type="paragraph" w:customStyle="1" w:styleId="ab">
    <w:name w:val="Знак Знак Знак"/>
    <w:basedOn w:val="a"/>
    <w:rsid w:val="0041782C"/>
    <w:rPr>
      <w:rFonts w:ascii="Verdana" w:hAnsi="Verdana" w:cs="Verdana"/>
      <w:sz w:val="20"/>
      <w:szCs w:val="20"/>
      <w:lang w:val="en-US" w:eastAsia="en-US"/>
    </w:rPr>
  </w:style>
  <w:style w:type="paragraph" w:customStyle="1" w:styleId="22">
    <w:name w:val="Знак2 Знак Знак Знак Знак Знак Знак Знак Знак Знак Знак Знак Знак Знак Знак Знак"/>
    <w:basedOn w:val="a"/>
    <w:rsid w:val="0041782C"/>
    <w:rPr>
      <w:rFonts w:ascii="Verdana" w:hAnsi="Verdana" w:cs="Verdana"/>
      <w:lang w:val="en-US" w:eastAsia="en-US"/>
    </w:rPr>
  </w:style>
  <w:style w:type="paragraph" w:customStyle="1" w:styleId="ac">
    <w:name w:val="Знак"/>
    <w:basedOn w:val="a"/>
    <w:rsid w:val="000232A2"/>
    <w:rPr>
      <w:rFonts w:ascii="Verdana" w:hAnsi="Verdana" w:cs="Verdana"/>
      <w:sz w:val="20"/>
      <w:szCs w:val="20"/>
      <w:lang w:val="en-US" w:eastAsia="en-US"/>
    </w:rPr>
  </w:style>
  <w:style w:type="character" w:styleId="ad">
    <w:name w:val="Hyperlink"/>
    <w:basedOn w:val="a0"/>
    <w:uiPriority w:val="99"/>
    <w:unhideWhenUsed/>
    <w:rsid w:val="00666311"/>
    <w:rPr>
      <w:color w:val="0000FF"/>
      <w:u w:val="single"/>
    </w:rPr>
  </w:style>
  <w:style w:type="paragraph" w:customStyle="1" w:styleId="tj">
    <w:name w:val="tj"/>
    <w:basedOn w:val="a"/>
    <w:rsid w:val="0035192F"/>
    <w:pPr>
      <w:spacing w:before="100" w:beforeAutospacing="1" w:after="100" w:afterAutospacing="1"/>
    </w:pPr>
  </w:style>
  <w:style w:type="character" w:customStyle="1" w:styleId="hard-blue-color">
    <w:name w:val="hard-blue-color"/>
    <w:basedOn w:val="a0"/>
    <w:rsid w:val="0035192F"/>
  </w:style>
  <w:style w:type="paragraph" w:customStyle="1" w:styleId="tc">
    <w:name w:val="tc"/>
    <w:basedOn w:val="a"/>
    <w:rsid w:val="0035192F"/>
    <w:pPr>
      <w:spacing w:before="100" w:beforeAutospacing="1" w:after="100" w:afterAutospacing="1"/>
    </w:pPr>
  </w:style>
  <w:style w:type="paragraph" w:customStyle="1" w:styleId="ae">
    <w:name w:val="Знак Знак Знак Знак Знак Знак Знак Знак Знак Знак Знак Знак Знак Знак Знак"/>
    <w:basedOn w:val="a"/>
    <w:rsid w:val="001A2518"/>
    <w:rPr>
      <w:rFonts w:ascii="Verdana" w:hAnsi="Verdana" w:cs="Verdana"/>
      <w:sz w:val="20"/>
      <w:szCs w:val="20"/>
      <w:lang w:val="en-US" w:eastAsia="en-US"/>
    </w:rPr>
  </w:style>
  <w:style w:type="paragraph" w:customStyle="1" w:styleId="rvps2">
    <w:name w:val="rvps2"/>
    <w:basedOn w:val="a"/>
    <w:rsid w:val="00D92C42"/>
    <w:pPr>
      <w:spacing w:before="100" w:beforeAutospacing="1" w:after="100" w:afterAutospacing="1"/>
    </w:pPr>
  </w:style>
  <w:style w:type="paragraph" w:customStyle="1" w:styleId="12">
    <w:name w:val="Знак Знак1 Знак Знак Знак Знак Знак"/>
    <w:basedOn w:val="a"/>
    <w:rsid w:val="001D4DF6"/>
    <w:rPr>
      <w:rFonts w:ascii="Verdana" w:hAnsi="Verdana" w:cs="Verdana"/>
      <w:sz w:val="20"/>
      <w:szCs w:val="20"/>
      <w:lang w:val="en-US" w:eastAsia="en-US"/>
    </w:rPr>
  </w:style>
  <w:style w:type="paragraph" w:customStyle="1" w:styleId="af">
    <w:name w:val="Знак Знак"/>
    <w:basedOn w:val="a"/>
    <w:link w:val="13"/>
    <w:qFormat/>
    <w:rsid w:val="00E54DFA"/>
    <w:rPr>
      <w:rFonts w:ascii="Verdana" w:eastAsia="Calibri" w:hAnsi="Verdana" w:cs="Verdana"/>
      <w:sz w:val="20"/>
      <w:szCs w:val="20"/>
      <w:lang w:val="en-US" w:eastAsia="en-US"/>
    </w:rPr>
  </w:style>
  <w:style w:type="character" w:customStyle="1" w:styleId="13">
    <w:name w:val="Знак Знак Знак1"/>
    <w:link w:val="af"/>
    <w:locked/>
    <w:rsid w:val="00E54DFA"/>
    <w:rPr>
      <w:rFonts w:ascii="Verdana" w:eastAsia="Calibri" w:hAnsi="Verdana" w:cs="Verdana"/>
      <w:sz w:val="20"/>
      <w:szCs w:val="20"/>
      <w:lang w:val="en-US"/>
    </w:rPr>
  </w:style>
  <w:style w:type="character" w:customStyle="1" w:styleId="af0">
    <w:name w:val="Основной текст_"/>
    <w:link w:val="4"/>
    <w:rsid w:val="000C209D"/>
    <w:rPr>
      <w:spacing w:val="8"/>
      <w:shd w:val="clear" w:color="auto" w:fill="FFFFFF"/>
    </w:rPr>
  </w:style>
  <w:style w:type="paragraph" w:customStyle="1" w:styleId="4">
    <w:name w:val="Основной текст4"/>
    <w:basedOn w:val="a"/>
    <w:link w:val="af0"/>
    <w:rsid w:val="000C209D"/>
    <w:pPr>
      <w:widowControl w:val="0"/>
      <w:shd w:val="clear" w:color="auto" w:fill="FFFFFF"/>
      <w:spacing w:after="300" w:line="317" w:lineRule="exact"/>
    </w:pPr>
    <w:rPr>
      <w:rFonts w:asciiTheme="minorHAnsi" w:eastAsiaTheme="minorHAnsi" w:hAnsiTheme="minorHAnsi" w:cstheme="minorBidi"/>
      <w:spacing w:val="8"/>
      <w:sz w:val="22"/>
      <w:szCs w:val="22"/>
      <w:shd w:val="clear" w:color="auto" w:fill="FFFFFF"/>
      <w:lang w:val="uk-UA" w:eastAsia="en-US"/>
    </w:rPr>
  </w:style>
  <w:style w:type="paragraph" w:customStyle="1" w:styleId="af1">
    <w:name w:val="Знак"/>
    <w:basedOn w:val="a"/>
    <w:rsid w:val="00E056BC"/>
    <w:rPr>
      <w:rFonts w:ascii="Verdana" w:hAnsi="Verdana" w:cs="Verdana"/>
      <w:sz w:val="20"/>
      <w:szCs w:val="20"/>
      <w:lang w:val="en-US" w:eastAsia="en-US"/>
    </w:rPr>
  </w:style>
  <w:style w:type="character" w:customStyle="1" w:styleId="z-label">
    <w:name w:val="z-label"/>
    <w:rsid w:val="00482A2B"/>
  </w:style>
  <w:style w:type="character" w:customStyle="1" w:styleId="14">
    <w:name w:val="Незакрита згадка1"/>
    <w:basedOn w:val="a0"/>
    <w:uiPriority w:val="99"/>
    <w:semiHidden/>
    <w:unhideWhenUsed/>
    <w:rsid w:val="000D171C"/>
    <w:rPr>
      <w:color w:val="605E5C"/>
      <w:shd w:val="clear" w:color="auto" w:fill="E1DFDD"/>
    </w:rPr>
  </w:style>
  <w:style w:type="paragraph" w:customStyle="1" w:styleId="15">
    <w:name w:val="Обычный1"/>
    <w:uiPriority w:val="99"/>
    <w:qFormat/>
    <w:rsid w:val="0052774F"/>
    <w:pPr>
      <w:spacing w:after="0" w:line="240" w:lineRule="auto"/>
    </w:pPr>
    <w:rPr>
      <w:rFonts w:ascii="Times New Roman" w:eastAsia="Times New Roman" w:hAnsi="Times New Roman" w:cs="Times New Roman"/>
      <w:sz w:val="24"/>
      <w:szCs w:val="20"/>
      <w:lang w:eastAsia="uk-UA"/>
    </w:rPr>
  </w:style>
  <w:style w:type="character" w:customStyle="1" w:styleId="16">
    <w:name w:val="Основной шрифт абзаца1"/>
    <w:link w:val="CharCharCharChar"/>
    <w:locked/>
    <w:rsid w:val="00CD72EC"/>
    <w:rPr>
      <w:rFonts w:ascii="Verdana" w:eastAsia="Verdana" w:hAnsi="Verdana" w:cs="Times New Roman"/>
      <w:sz w:val="20"/>
      <w:szCs w:val="20"/>
      <w:lang w:eastAsia="uk-UA"/>
    </w:rPr>
  </w:style>
  <w:style w:type="paragraph" w:customStyle="1" w:styleId="CharCharCharChar">
    <w:name w:val="Char Знак Знак Char Знак Знак Char Знак Знак Char Знак Знак Знак"/>
    <w:basedOn w:val="15"/>
    <w:link w:val="16"/>
    <w:qFormat/>
    <w:rsid w:val="00CD72EC"/>
    <w:rPr>
      <w:rFonts w:ascii="Verdana" w:eastAsia="Verdana" w:hAnsi="Verdana"/>
      <w:sz w:val="20"/>
    </w:rPr>
  </w:style>
  <w:style w:type="paragraph" w:customStyle="1" w:styleId="af2">
    <w:name w:val="Базовый"/>
    <w:basedOn w:val="a"/>
    <w:autoRedefine/>
    <w:rsid w:val="00F165DC"/>
    <w:pPr>
      <w:suppressAutoHyphens/>
      <w:autoSpaceDN w:val="0"/>
      <w:spacing w:after="120" w:line="276" w:lineRule="auto"/>
      <w:ind w:firstLine="709"/>
      <w:jc w:val="both"/>
      <w:textAlignment w:val="baseline"/>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70974">
      <w:bodyDiv w:val="1"/>
      <w:marLeft w:val="0"/>
      <w:marRight w:val="0"/>
      <w:marTop w:val="0"/>
      <w:marBottom w:val="0"/>
      <w:divBdr>
        <w:top w:val="none" w:sz="0" w:space="0" w:color="auto"/>
        <w:left w:val="none" w:sz="0" w:space="0" w:color="auto"/>
        <w:bottom w:val="none" w:sz="0" w:space="0" w:color="auto"/>
        <w:right w:val="none" w:sz="0" w:space="0" w:color="auto"/>
      </w:divBdr>
      <w:divsChild>
        <w:div w:id="263458943">
          <w:marLeft w:val="0"/>
          <w:marRight w:val="0"/>
          <w:marTop w:val="0"/>
          <w:marBottom w:val="0"/>
          <w:divBdr>
            <w:top w:val="none" w:sz="0" w:space="0" w:color="auto"/>
            <w:left w:val="none" w:sz="0" w:space="0" w:color="auto"/>
            <w:bottom w:val="none" w:sz="0" w:space="0" w:color="auto"/>
            <w:right w:val="none" w:sz="0" w:space="0" w:color="auto"/>
          </w:divBdr>
        </w:div>
        <w:div w:id="1929074573">
          <w:marLeft w:val="0"/>
          <w:marRight w:val="0"/>
          <w:marTop w:val="0"/>
          <w:marBottom w:val="0"/>
          <w:divBdr>
            <w:top w:val="none" w:sz="0" w:space="0" w:color="auto"/>
            <w:left w:val="none" w:sz="0" w:space="0" w:color="auto"/>
            <w:bottom w:val="none" w:sz="0" w:space="0" w:color="auto"/>
            <w:right w:val="none" w:sz="0" w:space="0" w:color="auto"/>
          </w:divBdr>
        </w:div>
        <w:div w:id="1748529709">
          <w:marLeft w:val="0"/>
          <w:marRight w:val="0"/>
          <w:marTop w:val="0"/>
          <w:marBottom w:val="0"/>
          <w:divBdr>
            <w:top w:val="none" w:sz="0" w:space="0" w:color="auto"/>
            <w:left w:val="none" w:sz="0" w:space="0" w:color="auto"/>
            <w:bottom w:val="none" w:sz="0" w:space="0" w:color="auto"/>
            <w:right w:val="none" w:sz="0" w:space="0" w:color="auto"/>
          </w:divBdr>
        </w:div>
        <w:div w:id="1658651185">
          <w:marLeft w:val="0"/>
          <w:marRight w:val="0"/>
          <w:marTop w:val="0"/>
          <w:marBottom w:val="0"/>
          <w:divBdr>
            <w:top w:val="none" w:sz="0" w:space="0" w:color="auto"/>
            <w:left w:val="none" w:sz="0" w:space="0" w:color="auto"/>
            <w:bottom w:val="none" w:sz="0" w:space="0" w:color="auto"/>
            <w:right w:val="none" w:sz="0" w:space="0" w:color="auto"/>
          </w:divBdr>
        </w:div>
      </w:divsChild>
    </w:div>
    <w:div w:id="664934865">
      <w:bodyDiv w:val="1"/>
      <w:marLeft w:val="0"/>
      <w:marRight w:val="0"/>
      <w:marTop w:val="0"/>
      <w:marBottom w:val="0"/>
      <w:divBdr>
        <w:top w:val="none" w:sz="0" w:space="0" w:color="auto"/>
        <w:left w:val="none" w:sz="0" w:space="0" w:color="auto"/>
        <w:bottom w:val="none" w:sz="0" w:space="0" w:color="auto"/>
        <w:right w:val="none" w:sz="0" w:space="0" w:color="auto"/>
      </w:divBdr>
    </w:div>
    <w:div w:id="690424456">
      <w:bodyDiv w:val="1"/>
      <w:marLeft w:val="0"/>
      <w:marRight w:val="0"/>
      <w:marTop w:val="0"/>
      <w:marBottom w:val="0"/>
      <w:divBdr>
        <w:top w:val="none" w:sz="0" w:space="0" w:color="auto"/>
        <w:left w:val="none" w:sz="0" w:space="0" w:color="auto"/>
        <w:bottom w:val="none" w:sz="0" w:space="0" w:color="auto"/>
        <w:right w:val="none" w:sz="0" w:space="0" w:color="auto"/>
      </w:divBdr>
    </w:div>
    <w:div w:id="760028141">
      <w:bodyDiv w:val="1"/>
      <w:marLeft w:val="0"/>
      <w:marRight w:val="0"/>
      <w:marTop w:val="0"/>
      <w:marBottom w:val="0"/>
      <w:divBdr>
        <w:top w:val="none" w:sz="0" w:space="0" w:color="auto"/>
        <w:left w:val="none" w:sz="0" w:space="0" w:color="auto"/>
        <w:bottom w:val="none" w:sz="0" w:space="0" w:color="auto"/>
        <w:right w:val="none" w:sz="0" w:space="0" w:color="auto"/>
      </w:divBdr>
    </w:div>
    <w:div w:id="885680775">
      <w:bodyDiv w:val="1"/>
      <w:marLeft w:val="0"/>
      <w:marRight w:val="0"/>
      <w:marTop w:val="0"/>
      <w:marBottom w:val="0"/>
      <w:divBdr>
        <w:top w:val="none" w:sz="0" w:space="0" w:color="auto"/>
        <w:left w:val="none" w:sz="0" w:space="0" w:color="auto"/>
        <w:bottom w:val="none" w:sz="0" w:space="0" w:color="auto"/>
        <w:right w:val="none" w:sz="0" w:space="0" w:color="auto"/>
      </w:divBdr>
    </w:div>
    <w:div w:id="1129278712">
      <w:bodyDiv w:val="1"/>
      <w:marLeft w:val="0"/>
      <w:marRight w:val="0"/>
      <w:marTop w:val="0"/>
      <w:marBottom w:val="0"/>
      <w:divBdr>
        <w:top w:val="none" w:sz="0" w:space="0" w:color="auto"/>
        <w:left w:val="none" w:sz="0" w:space="0" w:color="auto"/>
        <w:bottom w:val="none" w:sz="0" w:space="0" w:color="auto"/>
        <w:right w:val="none" w:sz="0" w:space="0" w:color="auto"/>
      </w:divBdr>
    </w:div>
    <w:div w:id="16589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3AFF-3389-4B70-9557-51D7FFD7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6710</Words>
  <Characters>3826</Characters>
  <Application>Microsoft Office Word</Application>
  <DocSecurity>0</DocSecurity>
  <Lines>31</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ОЛЕНА  ВАСИЛІВНА</dc:creator>
  <cp:lastModifiedBy>Admin</cp:lastModifiedBy>
  <cp:revision>3</cp:revision>
  <cp:lastPrinted>2026-05-07T08:03:00Z</cp:lastPrinted>
  <dcterms:created xsi:type="dcterms:W3CDTF">2026-06-21T12:05:00Z</dcterms:created>
  <dcterms:modified xsi:type="dcterms:W3CDTF">2026-06-22T06:36:00Z</dcterms:modified>
</cp:coreProperties>
</file>