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2D5" w:rsidRPr="00E904D2" w:rsidRDefault="004E32D5" w:rsidP="00E904D2">
      <w:pPr>
        <w:ind w:firstLine="567"/>
        <w:jc w:val="center"/>
        <w:rPr>
          <w:color w:val="000000"/>
          <w:sz w:val="28"/>
          <w:szCs w:val="28"/>
        </w:rPr>
      </w:pPr>
    </w:p>
    <w:p w:rsidR="00771ACB" w:rsidRDefault="00771ACB" w:rsidP="00771ACB">
      <w:pPr>
        <w:ind w:firstLine="567"/>
        <w:jc w:val="both"/>
        <w:rPr>
          <w:color w:val="000000"/>
          <w:sz w:val="28"/>
          <w:szCs w:val="28"/>
        </w:rPr>
      </w:pPr>
      <w:bookmarkStart w:id="0" w:name="_GoBack"/>
      <w:bookmarkEnd w:id="0"/>
    </w:p>
    <w:p w:rsidR="00771ACB" w:rsidRPr="00771ACB" w:rsidRDefault="00771ACB" w:rsidP="00771ACB">
      <w:pPr>
        <w:ind w:firstLine="567"/>
        <w:jc w:val="both"/>
        <w:rPr>
          <w:b/>
          <w:color w:val="000000"/>
          <w:sz w:val="32"/>
          <w:szCs w:val="32"/>
        </w:rPr>
      </w:pPr>
      <w:r w:rsidRPr="00771ACB">
        <w:rPr>
          <w:b/>
          <w:color w:val="000000"/>
          <w:sz w:val="32"/>
          <w:szCs w:val="32"/>
        </w:rPr>
        <w:t>Державна податкова служба України</w:t>
      </w:r>
    </w:p>
    <w:p w:rsidR="00771ACB" w:rsidRPr="00771ACB" w:rsidRDefault="00771ACB" w:rsidP="00771ACB">
      <w:pPr>
        <w:ind w:firstLine="567"/>
        <w:jc w:val="both"/>
        <w:rPr>
          <w:b/>
          <w:color w:val="000000"/>
          <w:sz w:val="32"/>
          <w:szCs w:val="32"/>
        </w:rPr>
      </w:pPr>
      <w:r w:rsidRPr="00771ACB">
        <w:rPr>
          <w:b/>
          <w:color w:val="000000"/>
          <w:sz w:val="32"/>
          <w:szCs w:val="32"/>
        </w:rPr>
        <w:t xml:space="preserve">ІПК </w:t>
      </w:r>
      <w:r w:rsidRPr="00771ACB">
        <w:rPr>
          <w:b/>
          <w:color w:val="000000"/>
          <w:sz w:val="32"/>
          <w:szCs w:val="32"/>
        </w:rPr>
        <w:t xml:space="preserve">від 15.09.2026 р. </w:t>
      </w:r>
      <w:r w:rsidRPr="00771ACB">
        <w:rPr>
          <w:b/>
          <w:color w:val="000000"/>
          <w:sz w:val="32"/>
          <w:szCs w:val="32"/>
        </w:rPr>
        <w:t>№5479/ІПК/99-00-24-03-03</w:t>
      </w:r>
    </w:p>
    <w:p w:rsidR="00C40EDB" w:rsidRDefault="00C40EDB" w:rsidP="00766FB8">
      <w:pPr>
        <w:ind w:firstLine="567"/>
        <w:jc w:val="both"/>
        <w:rPr>
          <w:color w:val="000000"/>
          <w:sz w:val="28"/>
          <w:szCs w:val="28"/>
        </w:rPr>
      </w:pPr>
    </w:p>
    <w:p w:rsidR="004E32D5" w:rsidRPr="00766FB8" w:rsidRDefault="001A62D0" w:rsidP="00766FB8">
      <w:pPr>
        <w:ind w:firstLine="567"/>
        <w:jc w:val="both"/>
        <w:rPr>
          <w:sz w:val="28"/>
          <w:szCs w:val="28"/>
        </w:rPr>
      </w:pPr>
      <w:r w:rsidRPr="00766FB8">
        <w:rPr>
          <w:sz w:val="28"/>
          <w:szCs w:val="28"/>
        </w:rPr>
        <w:t xml:space="preserve">Державна податкова служба України, керуючись ст. 52 Податкового кодексу України </w:t>
      </w:r>
      <w:r w:rsidRPr="00766FB8">
        <w:rPr>
          <w:sz w:val="28"/>
          <w:szCs w:val="28"/>
          <w:shd w:val="clear" w:color="auto" w:fill="FFFFFF"/>
        </w:rPr>
        <w:t xml:space="preserve">(далі – </w:t>
      </w:r>
      <w:r w:rsidRPr="00766FB8">
        <w:rPr>
          <w:sz w:val="28"/>
          <w:szCs w:val="28"/>
        </w:rPr>
        <w:t>Кодекс</w:t>
      </w:r>
      <w:r w:rsidRPr="00766FB8">
        <w:rPr>
          <w:sz w:val="28"/>
          <w:szCs w:val="28"/>
          <w:shd w:val="clear" w:color="auto" w:fill="FFFFFF"/>
        </w:rPr>
        <w:t xml:space="preserve">), </w:t>
      </w:r>
      <w:r w:rsidRPr="00766FB8">
        <w:rPr>
          <w:sz w:val="28"/>
          <w:szCs w:val="28"/>
        </w:rPr>
        <w:t xml:space="preserve">розглянула звернення </w:t>
      </w:r>
      <w:r w:rsidR="00240402">
        <w:rPr>
          <w:sz w:val="28"/>
          <w:szCs w:val="28"/>
        </w:rPr>
        <w:t>(…)</w:t>
      </w:r>
      <w:r w:rsidRPr="00766FB8">
        <w:rPr>
          <w:sz w:val="28"/>
          <w:szCs w:val="28"/>
        </w:rPr>
        <w:t xml:space="preserve"> щодо практичного застосування норм чинного законодавства та в межах компетенції повідомляє.</w:t>
      </w:r>
    </w:p>
    <w:p w:rsidR="00B40AC1" w:rsidRPr="00766FB8" w:rsidRDefault="006C38C6" w:rsidP="00766FB8">
      <w:pPr>
        <w:pStyle w:val="a8"/>
        <w:spacing w:after="0" w:line="240" w:lineRule="auto"/>
        <w:ind w:firstLine="567"/>
        <w:jc w:val="both"/>
        <w:rPr>
          <w:sz w:val="28"/>
          <w:szCs w:val="28"/>
        </w:rPr>
      </w:pPr>
      <w:r w:rsidRPr="00766FB8">
        <w:rPr>
          <w:sz w:val="28"/>
          <w:szCs w:val="28"/>
        </w:rPr>
        <w:t>Платник податків у своєму звернен</w:t>
      </w:r>
      <w:r w:rsidR="008E54E6" w:rsidRPr="00766FB8">
        <w:rPr>
          <w:sz w:val="28"/>
          <w:szCs w:val="28"/>
        </w:rPr>
        <w:t>н</w:t>
      </w:r>
      <w:r w:rsidRPr="00766FB8">
        <w:rPr>
          <w:sz w:val="28"/>
          <w:szCs w:val="28"/>
        </w:rPr>
        <w:t>і</w:t>
      </w:r>
      <w:r w:rsidR="008E54E6" w:rsidRPr="00766FB8">
        <w:rPr>
          <w:sz w:val="28"/>
          <w:szCs w:val="28"/>
        </w:rPr>
        <w:t xml:space="preserve"> </w:t>
      </w:r>
      <w:r w:rsidRPr="00766FB8">
        <w:rPr>
          <w:sz w:val="28"/>
          <w:szCs w:val="28"/>
        </w:rPr>
        <w:t>повідоми</w:t>
      </w:r>
      <w:r w:rsidR="00B40AC1" w:rsidRPr="00766FB8">
        <w:rPr>
          <w:sz w:val="28"/>
          <w:szCs w:val="28"/>
        </w:rPr>
        <w:t>в</w:t>
      </w:r>
      <w:r w:rsidRPr="00766FB8">
        <w:rPr>
          <w:sz w:val="28"/>
          <w:szCs w:val="28"/>
        </w:rPr>
        <w:t xml:space="preserve">, </w:t>
      </w:r>
      <w:r w:rsidR="00B40AC1" w:rsidRPr="00766FB8">
        <w:rPr>
          <w:sz w:val="28"/>
          <w:szCs w:val="28"/>
        </w:rPr>
        <w:t xml:space="preserve">що планується укладання з юридичною особою — нерезидентом </w:t>
      </w:r>
      <w:r w:rsidR="00240402">
        <w:rPr>
          <w:sz w:val="28"/>
          <w:szCs w:val="28"/>
        </w:rPr>
        <w:t>(…)</w:t>
      </w:r>
      <w:r w:rsidR="00B40AC1" w:rsidRPr="00766FB8">
        <w:rPr>
          <w:sz w:val="28"/>
          <w:szCs w:val="28"/>
        </w:rPr>
        <w:t xml:space="preserve"> (пов’язана особа у розумінні п.п. 14.1.159 Кодексу) на території іноземної держави письмового договору безвідсоткової грошової позики (поворотної фінансової допомоги) строком до 10 років в іноземній валюті. Договором не передбачається нарахування процентів, індексація суми позики, виплата премій, комісій або будь-якої іншої компенсації чи винагороди за користування коштами. Повернення грошових коштів здійснюється нерезидентом в тій самій валюті на мій особистий рахунок, відкритий за межами України протягом наступних 10 років.</w:t>
      </w:r>
    </w:p>
    <w:p w:rsidR="006C38C6" w:rsidRPr="00766FB8" w:rsidRDefault="006C38C6" w:rsidP="00766FB8">
      <w:pPr>
        <w:pStyle w:val="a8"/>
        <w:spacing w:after="0" w:line="240" w:lineRule="auto"/>
        <w:ind w:firstLine="567"/>
        <w:jc w:val="both"/>
        <w:rPr>
          <w:sz w:val="28"/>
          <w:szCs w:val="28"/>
        </w:rPr>
      </w:pPr>
      <w:r w:rsidRPr="00766FB8">
        <w:rPr>
          <w:sz w:val="28"/>
          <w:szCs w:val="28"/>
        </w:rPr>
        <w:t>З огляду на зазначене, платник податків просить надати індивідуальну податкову консультацію з питан</w:t>
      </w:r>
      <w:r w:rsidR="009D2979" w:rsidRPr="00766FB8">
        <w:rPr>
          <w:sz w:val="28"/>
          <w:szCs w:val="28"/>
        </w:rPr>
        <w:t>ня</w:t>
      </w:r>
      <w:r w:rsidRPr="00766FB8">
        <w:rPr>
          <w:sz w:val="28"/>
          <w:szCs w:val="28"/>
        </w:rPr>
        <w:t>:</w:t>
      </w:r>
    </w:p>
    <w:p w:rsidR="00B32988" w:rsidRPr="00766FB8" w:rsidRDefault="00B32988" w:rsidP="00BC68DA">
      <w:pPr>
        <w:ind w:firstLine="567"/>
        <w:jc w:val="both"/>
        <w:rPr>
          <w:sz w:val="28"/>
          <w:szCs w:val="28"/>
        </w:rPr>
      </w:pPr>
      <w:r w:rsidRPr="00766FB8">
        <w:rPr>
          <w:sz w:val="28"/>
          <w:szCs w:val="28"/>
        </w:rPr>
        <w:t xml:space="preserve">Чи виникає у фізичної особи — податкового резидента України  оподатковуваний дохід у момент повернення нерезидентом суми такої позики (поворотної фінансової допомоги) на іноземний банківський рахунок фізичної особи, який підлягає відображенню в річній декларації про майновий стан і доходи? </w:t>
      </w:r>
    </w:p>
    <w:p w:rsidR="00BC68DA" w:rsidRPr="00BC68DA" w:rsidRDefault="00BC68DA" w:rsidP="00BC68DA">
      <w:pPr>
        <w:ind w:firstLine="567"/>
        <w:jc w:val="both"/>
        <w:rPr>
          <w:sz w:val="28"/>
          <w:szCs w:val="28"/>
        </w:rPr>
      </w:pPr>
      <w:r w:rsidRPr="00BC68DA">
        <w:rPr>
          <w:sz w:val="28"/>
          <w:szCs w:val="28"/>
        </w:rPr>
        <w:t>Частиною другою ст. 19 Конституції України передбачено,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BC68DA" w:rsidRPr="00BC68DA" w:rsidRDefault="00BC68DA" w:rsidP="00BC68DA">
      <w:pPr>
        <w:ind w:firstLine="567"/>
        <w:jc w:val="both"/>
        <w:rPr>
          <w:sz w:val="28"/>
          <w:szCs w:val="28"/>
        </w:rPr>
      </w:pPr>
      <w:r w:rsidRPr="00BC68DA">
        <w:rPr>
          <w:sz w:val="28"/>
          <w:szCs w:val="28"/>
        </w:rPr>
        <w:t>Пунктом 19</w:t>
      </w:r>
      <w:r w:rsidRPr="00BC68DA">
        <w:rPr>
          <w:sz w:val="28"/>
          <w:szCs w:val="28"/>
          <w:vertAlign w:val="superscript"/>
        </w:rPr>
        <w:t>1</w:t>
      </w:r>
      <w:r w:rsidRPr="00BC68DA">
        <w:rPr>
          <w:sz w:val="28"/>
          <w:szCs w:val="28"/>
        </w:rPr>
        <w:t>.1 ст. 19</w:t>
      </w:r>
      <w:r w:rsidRPr="00BC68DA">
        <w:rPr>
          <w:sz w:val="28"/>
          <w:szCs w:val="28"/>
          <w:vertAlign w:val="superscript"/>
        </w:rPr>
        <w:t>1</w:t>
      </w:r>
      <w:r w:rsidRPr="00BC68DA">
        <w:rPr>
          <w:sz w:val="28"/>
          <w:szCs w:val="28"/>
        </w:rPr>
        <w:t xml:space="preserve"> Кодексу передбачено, що контролюючі органи здійснюють контроль за своєчасністю, достовірністю, повнотою нарахування та сплати податків, зборів, платежів установлених Кодексом, а також надають індивідуальні податкові консультації з питань податкового та іншого законодавства, контроль за додержанням якого покладено на контролюючі органи.</w:t>
      </w:r>
    </w:p>
    <w:p w:rsidR="00BC68DA" w:rsidRPr="00BC68DA" w:rsidRDefault="00BC68DA" w:rsidP="00BC68DA">
      <w:pPr>
        <w:ind w:firstLine="567"/>
        <w:jc w:val="both"/>
        <w:rPr>
          <w:sz w:val="28"/>
          <w:szCs w:val="28"/>
          <w:lang w:eastAsia="uk-UA"/>
        </w:rPr>
      </w:pPr>
      <w:r w:rsidRPr="00BC68DA">
        <w:rPr>
          <w:sz w:val="28"/>
          <w:szCs w:val="28"/>
        </w:rPr>
        <w:t>Підпунктом 14.1.267 п. 14.1 ст. 14 Кодексу визначено, що позика – це грошові кошти, які надаються резидентами, які є фінансовими установами, або нерезидентами, крім нерезидентів, які мають офшорний статус, позичальнику на визначений строк із зобов'язанням їх повернення та сплатою процентів за користування сумою позики.</w:t>
      </w:r>
    </w:p>
    <w:p w:rsidR="00BC68DA" w:rsidRPr="00BC68DA" w:rsidRDefault="00BC68DA" w:rsidP="00BC68DA">
      <w:pPr>
        <w:pStyle w:val="4"/>
        <w:spacing w:after="0" w:line="240" w:lineRule="auto"/>
        <w:ind w:firstLine="567"/>
        <w:jc w:val="both"/>
        <w:rPr>
          <w:sz w:val="28"/>
          <w:szCs w:val="28"/>
        </w:rPr>
      </w:pPr>
      <w:r w:rsidRPr="00BC68DA">
        <w:rPr>
          <w:sz w:val="28"/>
          <w:szCs w:val="28"/>
        </w:rPr>
        <w:t>Отже, у розумінні Кодексу позику надають виключно фінансові установи або нерезиденти, крім нерезидентів, які мають офшорний статус.</w:t>
      </w:r>
    </w:p>
    <w:p w:rsidR="00BC68DA" w:rsidRPr="00BC68DA" w:rsidRDefault="00BC68DA" w:rsidP="00BC68DA">
      <w:pPr>
        <w:pStyle w:val="4"/>
        <w:spacing w:after="0" w:line="240" w:lineRule="auto"/>
        <w:ind w:firstLine="567"/>
        <w:jc w:val="both"/>
        <w:rPr>
          <w:sz w:val="28"/>
          <w:szCs w:val="28"/>
        </w:rPr>
      </w:pPr>
      <w:r w:rsidRPr="00BC68DA">
        <w:rPr>
          <w:sz w:val="28"/>
          <w:szCs w:val="28"/>
        </w:rPr>
        <w:t xml:space="preserve">Водночас згідно з п.п. 14.1.257 п. 14.1 ст. 14 Кодексу фінансова допомога – це допомога, надана на безповоротній або поворотній основі. Поворотна фінансова допомога – це сума коштів, що надійшла платнику податків у </w:t>
      </w:r>
      <w:r w:rsidRPr="00BC68DA">
        <w:rPr>
          <w:sz w:val="28"/>
          <w:szCs w:val="28"/>
        </w:rPr>
        <w:lastRenderedPageBreak/>
        <w:t>користування за договором, який не передбачає нарахування процентів або надання інших видів компенсацій у вигляді плати за користування такими коштами, та є обов’язковою до повернення.</w:t>
      </w:r>
    </w:p>
    <w:p w:rsidR="00294289" w:rsidRPr="00766FB8" w:rsidRDefault="00294289" w:rsidP="00766FB8">
      <w:pPr>
        <w:tabs>
          <w:tab w:val="left" w:pos="567"/>
        </w:tabs>
        <w:ind w:firstLine="567"/>
        <w:jc w:val="both"/>
        <w:rPr>
          <w:sz w:val="28"/>
          <w:szCs w:val="28"/>
        </w:rPr>
      </w:pPr>
      <w:r w:rsidRPr="00766FB8">
        <w:rPr>
          <w:sz w:val="28"/>
          <w:szCs w:val="28"/>
        </w:rPr>
        <w:t>Правовою основою для отримання поворотної фінансової допомоги є договір позики. Відносини за договором позики регулюються ст. 1046 - 1053 Цивільного кодексу України (далі – ЦКУ).</w:t>
      </w:r>
    </w:p>
    <w:p w:rsidR="00294289" w:rsidRPr="00766FB8" w:rsidRDefault="00294289" w:rsidP="00766FB8">
      <w:pPr>
        <w:tabs>
          <w:tab w:val="left" w:pos="567"/>
        </w:tabs>
        <w:ind w:firstLine="567"/>
        <w:jc w:val="both"/>
        <w:rPr>
          <w:sz w:val="28"/>
          <w:szCs w:val="28"/>
        </w:rPr>
      </w:pPr>
      <w:r w:rsidRPr="00766FB8">
        <w:rPr>
          <w:sz w:val="28"/>
          <w:szCs w:val="28"/>
        </w:rPr>
        <w:t>Відповідно до ст. 1046 ЦКУ за договором позики одна сторона (позикодавець) передає у власність другій стороні (позичальникові) грошові кошти або інші речі, визначені родовими ознаками, а позичальник зобов’язується повернути позикодавцеві таку ж суму грошових коштів (суму позики) або таку ж кількість речей того ж роду та такої ж якості.</w:t>
      </w:r>
    </w:p>
    <w:p w:rsidR="00294289" w:rsidRPr="00766FB8" w:rsidRDefault="00294289" w:rsidP="00766FB8">
      <w:pPr>
        <w:tabs>
          <w:tab w:val="left" w:pos="567"/>
        </w:tabs>
        <w:ind w:firstLine="567"/>
        <w:jc w:val="both"/>
        <w:rPr>
          <w:sz w:val="28"/>
          <w:szCs w:val="28"/>
        </w:rPr>
      </w:pPr>
      <w:r w:rsidRPr="00766FB8">
        <w:rPr>
          <w:sz w:val="28"/>
          <w:szCs w:val="28"/>
        </w:rPr>
        <w:t>Згідно зі ст. 1049 ЦКУ позичальник зобов’язаний повернути позикодавцеві позику (грошові кошти у такій самій сумі або речі, визначені родовими ознаками, у такій самій кількості, такого самого роду та такої самої якості, що були передані йому позикодавцем) у строк та в порядку, що встановлені договором.</w:t>
      </w:r>
    </w:p>
    <w:p w:rsidR="00294289" w:rsidRPr="00766FB8" w:rsidRDefault="00294289" w:rsidP="00766FB8">
      <w:pPr>
        <w:pStyle w:val="ac"/>
        <w:spacing w:before="0" w:after="0"/>
        <w:ind w:firstLine="567"/>
        <w:jc w:val="both"/>
        <w:rPr>
          <w:sz w:val="28"/>
          <w:szCs w:val="28"/>
        </w:rPr>
      </w:pPr>
      <w:r w:rsidRPr="00766FB8">
        <w:rPr>
          <w:sz w:val="28"/>
          <w:szCs w:val="28"/>
        </w:rPr>
        <w:t>Оподаткування доходів фізичних осіб регулюється розділом IV Кодексу, згідно з п.п. 163.1.1 п. 163.1 ст. 163 Кодексу об’єктом оподаткування резидента є загальний місячний (річний) оподатковуваний дохід.</w:t>
      </w:r>
    </w:p>
    <w:p w:rsidR="00294289" w:rsidRPr="00766FB8" w:rsidRDefault="00294289" w:rsidP="00766FB8">
      <w:pPr>
        <w:tabs>
          <w:tab w:val="left" w:pos="567"/>
        </w:tabs>
        <w:ind w:firstLine="567"/>
        <w:jc w:val="both"/>
        <w:rPr>
          <w:sz w:val="28"/>
          <w:szCs w:val="28"/>
        </w:rPr>
      </w:pPr>
      <w:r w:rsidRPr="00766FB8">
        <w:rPr>
          <w:sz w:val="28"/>
          <w:szCs w:val="28"/>
        </w:rPr>
        <w:t>Статтею 165 Кодексу встановлено перелік доходів, які не включаються до загального місячного (річного) оподатковуваного доходу платника податку, зокрема, основна сума поворотної фінансової допомоги, наданої платником податку іншим особам, яка повертається йому, основна сума поворотної фінансової допомоги, що отримується платником податку (п.п. 165.1.31 п. 165.1 ст. 165 Кодексу).</w:t>
      </w:r>
    </w:p>
    <w:p w:rsidR="00294289" w:rsidRPr="00766FB8" w:rsidRDefault="00294289" w:rsidP="00766FB8">
      <w:pPr>
        <w:widowControl w:val="0"/>
        <w:ind w:firstLine="567"/>
        <w:jc w:val="both"/>
        <w:rPr>
          <w:sz w:val="28"/>
          <w:szCs w:val="28"/>
        </w:rPr>
      </w:pPr>
      <w:r w:rsidRPr="00766FB8">
        <w:rPr>
          <w:sz w:val="28"/>
          <w:szCs w:val="28"/>
        </w:rPr>
        <w:t>Підпунктом 1.7 п. 16</w:t>
      </w:r>
      <w:r w:rsidRPr="00766FB8">
        <w:rPr>
          <w:sz w:val="28"/>
          <w:szCs w:val="28"/>
          <w:vertAlign w:val="superscript"/>
        </w:rPr>
        <w:t>1</w:t>
      </w:r>
      <w:r w:rsidRPr="00766FB8">
        <w:rPr>
          <w:sz w:val="28"/>
          <w:szCs w:val="28"/>
        </w:rPr>
        <w:t xml:space="preserve"> підрозділу 10 розділу ХХ «Перехідні положення» Кодексу передбачено, що звільняються від оподаткування військовим збором доходи, які згідно з розділом IV Кодексу та підрозділом 1 розділу XX «Перехідні положення» Кодексу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п.п. 165.1.36 п. 165.1 ст. 165, п.п. 3 і 4 </w:t>
      </w:r>
      <w:r w:rsidRPr="00766FB8">
        <w:rPr>
          <w:sz w:val="28"/>
          <w:szCs w:val="28"/>
        </w:rPr>
        <w:br/>
        <w:t>п. 170.13</w:t>
      </w:r>
      <w:r w:rsidRPr="00766FB8">
        <w:rPr>
          <w:sz w:val="28"/>
          <w:szCs w:val="28"/>
          <w:vertAlign w:val="superscript"/>
        </w:rPr>
        <w:t>1</w:t>
      </w:r>
      <w:r w:rsidRPr="00766FB8">
        <w:rPr>
          <w:sz w:val="28"/>
          <w:szCs w:val="28"/>
        </w:rPr>
        <w:t xml:space="preserve"> ст. 170 Кодексу та п. 14 підрозділу 1 розділу XX «Перехідні положення» Кодексу.</w:t>
      </w:r>
    </w:p>
    <w:p w:rsidR="00294289" w:rsidRPr="00766FB8" w:rsidRDefault="00294289" w:rsidP="00766FB8">
      <w:pPr>
        <w:tabs>
          <w:tab w:val="left" w:pos="0"/>
        </w:tabs>
        <w:ind w:firstLine="567"/>
        <w:jc w:val="both"/>
        <w:rPr>
          <w:sz w:val="28"/>
          <w:szCs w:val="28"/>
        </w:rPr>
      </w:pPr>
      <w:r w:rsidRPr="00766FB8">
        <w:rPr>
          <w:sz w:val="28"/>
          <w:szCs w:val="28"/>
        </w:rPr>
        <w:t>Таким чином, основна сума поворотної фінансової допомоги, яка буде повернута юридичною особою - нерезидентом у такій самій сумі, відповідно до умов договору, не включається до загального місячного (річного) оподатковуваного доходу платника податків, тобто не оподатковується податком на доходи фізичних осіб та звільняється від оподаткування військовим збором.</w:t>
      </w:r>
    </w:p>
    <w:p w:rsidR="00876702" w:rsidRPr="00766FB8" w:rsidRDefault="00876702" w:rsidP="00766FB8">
      <w:pPr>
        <w:ind w:firstLine="567"/>
        <w:jc w:val="both"/>
        <w:textAlignment w:val="baseline"/>
        <w:rPr>
          <w:sz w:val="28"/>
          <w:szCs w:val="28"/>
        </w:rPr>
      </w:pPr>
      <w:r w:rsidRPr="00766FB8">
        <w:rPr>
          <w:sz w:val="28"/>
          <w:szCs w:val="28"/>
        </w:rPr>
        <w:t>Відповідно до п. 179.2 ст. 179 Кодексу обов’язок платника податку щодо подання Декларації вважається виконаним і Декларація не подається, крім випадків, коли подання Декларації прямо передбачено ПКУ, якщо такий платник податку отримував</w:t>
      </w:r>
      <w:r w:rsidR="00BC68DA">
        <w:rPr>
          <w:sz w:val="28"/>
          <w:szCs w:val="28"/>
        </w:rPr>
        <w:t>, зокрема</w:t>
      </w:r>
      <w:r w:rsidRPr="00766FB8">
        <w:rPr>
          <w:sz w:val="28"/>
          <w:szCs w:val="28"/>
        </w:rPr>
        <w:t>:</w:t>
      </w:r>
    </w:p>
    <w:p w:rsidR="00876702" w:rsidRPr="00766FB8" w:rsidRDefault="00876702" w:rsidP="00766FB8">
      <w:pPr>
        <w:ind w:firstLine="567"/>
        <w:jc w:val="both"/>
        <w:textAlignment w:val="baseline"/>
        <w:rPr>
          <w:sz w:val="28"/>
          <w:szCs w:val="28"/>
        </w:rPr>
      </w:pPr>
      <w:r w:rsidRPr="00766FB8">
        <w:rPr>
          <w:sz w:val="28"/>
          <w:szCs w:val="28"/>
        </w:rPr>
        <w:t>доходи, у тому числі іноземні доходи, які згідно з Кодексом не включаються до загального місячного (річного) оподатковуваного доходу</w:t>
      </w:r>
      <w:r w:rsidR="00BC68DA">
        <w:rPr>
          <w:sz w:val="28"/>
          <w:szCs w:val="28"/>
        </w:rPr>
        <w:t>.</w:t>
      </w:r>
    </w:p>
    <w:p w:rsidR="00876702" w:rsidRPr="00766FB8" w:rsidRDefault="00876702" w:rsidP="00766FB8">
      <w:pPr>
        <w:ind w:firstLine="567"/>
        <w:jc w:val="both"/>
        <w:textAlignment w:val="baseline"/>
        <w:rPr>
          <w:sz w:val="28"/>
          <w:szCs w:val="28"/>
          <w:lang w:eastAsia="uk-UA"/>
        </w:rPr>
      </w:pPr>
      <w:r w:rsidRPr="00766FB8">
        <w:rPr>
          <w:sz w:val="28"/>
          <w:szCs w:val="28"/>
        </w:rPr>
        <w:lastRenderedPageBreak/>
        <w:t xml:space="preserve">У разі якщо платник податку зобов’язаний подавати </w:t>
      </w:r>
      <w:r w:rsidR="00766FB8" w:rsidRPr="00766FB8">
        <w:rPr>
          <w:sz w:val="28"/>
          <w:szCs w:val="28"/>
        </w:rPr>
        <w:t>Декларацію</w:t>
      </w:r>
      <w:r w:rsidRPr="00766FB8">
        <w:rPr>
          <w:sz w:val="28"/>
          <w:szCs w:val="28"/>
        </w:rPr>
        <w:t xml:space="preserve"> відповідно до інших положень Кодексу, то в ній поряд з іншими доходами зазначаються доходи, передбачені п. 179.2 ст. 179 Кодексу.</w:t>
      </w:r>
    </w:p>
    <w:p w:rsidR="004E32D5" w:rsidRPr="00766FB8" w:rsidRDefault="001A62D0" w:rsidP="00766FB8">
      <w:pPr>
        <w:pStyle w:val="Default"/>
        <w:ind w:firstLine="567"/>
        <w:jc w:val="both"/>
        <w:rPr>
          <w:color w:val="auto"/>
          <w:sz w:val="28"/>
          <w:szCs w:val="28"/>
        </w:rPr>
      </w:pPr>
      <w:r w:rsidRPr="00766FB8">
        <w:rPr>
          <w:rFonts w:eastAsia="Times New Roman"/>
          <w:color w:val="auto"/>
          <w:sz w:val="28"/>
          <w:szCs w:val="28"/>
          <w:lang w:eastAsia="uk-UA"/>
        </w:rPr>
        <w:t>Згідно з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sectPr w:rsidR="004E32D5" w:rsidRPr="00766FB8" w:rsidSect="00BC68DA">
      <w:headerReference w:type="default" r:id="rId7"/>
      <w:pgSz w:w="11906" w:h="16838"/>
      <w:pgMar w:top="851" w:right="567" w:bottom="1560" w:left="1701" w:header="70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42B" w:rsidRDefault="0048442B">
      <w:r>
        <w:separator/>
      </w:r>
    </w:p>
  </w:endnote>
  <w:endnote w:type="continuationSeparator" w:id="0">
    <w:p w:rsidR="0048442B" w:rsidRDefault="00484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Calibri"/>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42B" w:rsidRDefault="0048442B">
      <w:r>
        <w:separator/>
      </w:r>
    </w:p>
  </w:footnote>
  <w:footnote w:type="continuationSeparator" w:id="0">
    <w:p w:rsidR="0048442B" w:rsidRDefault="004844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126116"/>
      <w:docPartObj>
        <w:docPartGallery w:val="Page Numbers (Top of Page)"/>
        <w:docPartUnique/>
      </w:docPartObj>
    </w:sdtPr>
    <w:sdtEndPr/>
    <w:sdtContent>
      <w:p w:rsidR="004E32D5" w:rsidRDefault="001A62D0">
        <w:pPr>
          <w:pStyle w:val="ae"/>
          <w:jc w:val="center"/>
        </w:pPr>
        <w:r>
          <w:fldChar w:fldCharType="begin"/>
        </w:r>
        <w:r>
          <w:instrText>PAGE</w:instrText>
        </w:r>
        <w:r>
          <w:fldChar w:fldCharType="separate"/>
        </w:r>
        <w:r w:rsidR="00771ACB">
          <w:rPr>
            <w:noProof/>
          </w:rPr>
          <w:t>3</w:t>
        </w:r>
        <w:r>
          <w:fldChar w:fldCharType="end"/>
        </w:r>
      </w:p>
    </w:sdtContent>
  </w:sdt>
  <w:p w:rsidR="004E32D5" w:rsidRDefault="004E32D5">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46BD4"/>
    <w:multiLevelType w:val="hybridMultilevel"/>
    <w:tmpl w:val="43661CF6"/>
    <w:lvl w:ilvl="0" w:tplc="14D21EE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58BC5F9D"/>
    <w:multiLevelType w:val="multilevel"/>
    <w:tmpl w:val="C67AE6CA"/>
    <w:lvl w:ilvl="0">
      <w:start w:val="1"/>
      <w:numFmt w:val="decimal"/>
      <w:suff w:val="nothing"/>
      <w:lvlText w:val="%1."/>
      <w:lvlJc w:val="left"/>
      <w:pPr>
        <w:tabs>
          <w:tab w:val="num" w:pos="707"/>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2D5"/>
    <w:rsid w:val="000947CA"/>
    <w:rsid w:val="001A62D0"/>
    <w:rsid w:val="001F2079"/>
    <w:rsid w:val="002351F5"/>
    <w:rsid w:val="00240402"/>
    <w:rsid w:val="00286F5D"/>
    <w:rsid w:val="00294289"/>
    <w:rsid w:val="002E23E9"/>
    <w:rsid w:val="00316ECB"/>
    <w:rsid w:val="003F6B56"/>
    <w:rsid w:val="00411BD3"/>
    <w:rsid w:val="00457E97"/>
    <w:rsid w:val="00480133"/>
    <w:rsid w:val="0048442B"/>
    <w:rsid w:val="004B1F14"/>
    <w:rsid w:val="004D280E"/>
    <w:rsid w:val="004E32D5"/>
    <w:rsid w:val="00635F04"/>
    <w:rsid w:val="006C38C6"/>
    <w:rsid w:val="00714FE3"/>
    <w:rsid w:val="00766FB8"/>
    <w:rsid w:val="007705F2"/>
    <w:rsid w:val="00771ACB"/>
    <w:rsid w:val="007D1908"/>
    <w:rsid w:val="0085697F"/>
    <w:rsid w:val="00876702"/>
    <w:rsid w:val="008846FF"/>
    <w:rsid w:val="008910BF"/>
    <w:rsid w:val="008A5A29"/>
    <w:rsid w:val="008E54E6"/>
    <w:rsid w:val="00993695"/>
    <w:rsid w:val="00996739"/>
    <w:rsid w:val="009B6524"/>
    <w:rsid w:val="009D2979"/>
    <w:rsid w:val="00A34D9D"/>
    <w:rsid w:val="00AD3506"/>
    <w:rsid w:val="00AE0F54"/>
    <w:rsid w:val="00B0306B"/>
    <w:rsid w:val="00B32988"/>
    <w:rsid w:val="00B40AC1"/>
    <w:rsid w:val="00B97318"/>
    <w:rsid w:val="00BA4FF4"/>
    <w:rsid w:val="00BB292E"/>
    <w:rsid w:val="00BC68DA"/>
    <w:rsid w:val="00C40EDB"/>
    <w:rsid w:val="00CA599F"/>
    <w:rsid w:val="00D642C9"/>
    <w:rsid w:val="00D903E7"/>
    <w:rsid w:val="00DC1712"/>
    <w:rsid w:val="00E6229A"/>
    <w:rsid w:val="00E904D2"/>
    <w:rsid w:val="00EA4817"/>
    <w:rsid w:val="00EB109F"/>
    <w:rsid w:val="00F82435"/>
    <w:rsid w:val="00F96448"/>
    <w:rsid w:val="00FB0E72"/>
    <w:rsid w:val="00FC2C60"/>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9602C"/>
  <w15:docId w15:val="{CE39909B-89A4-440F-BEE3-28264ADC8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51B"/>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Обычный (веб)1 Знак,Знак1 Зн Знак,З Знак"/>
    <w:qFormat/>
    <w:rsid w:val="0009451B"/>
    <w:rPr>
      <w:rFonts w:ascii="Times New Roman" w:eastAsia="Times New Roman" w:hAnsi="Times New Roman" w:cs="Times New Roman"/>
      <w:sz w:val="24"/>
      <w:szCs w:val="24"/>
      <w:lang w:val="ru-RU" w:eastAsia="ru-RU"/>
    </w:rPr>
  </w:style>
  <w:style w:type="character" w:customStyle="1" w:styleId="1">
    <w:name w:val="Основной шрифт абзаца1"/>
    <w:link w:val="CharCharCharChar"/>
    <w:qFormat/>
    <w:rsid w:val="0009451B"/>
    <w:rPr>
      <w:rFonts w:ascii="Verdana" w:eastAsia="Times New Roman" w:hAnsi="Verdana" w:cs="Verdana"/>
      <w:sz w:val="20"/>
      <w:szCs w:val="20"/>
      <w:lang w:val="en-US"/>
    </w:rPr>
  </w:style>
  <w:style w:type="character" w:styleId="a4">
    <w:name w:val="Emphasis"/>
    <w:uiPriority w:val="20"/>
    <w:qFormat/>
    <w:rsid w:val="0009451B"/>
    <w:rPr>
      <w:rFonts w:ascii="Calibri" w:hAnsi="Calibri"/>
      <w:b/>
      <w:i/>
      <w:iCs/>
    </w:rPr>
  </w:style>
  <w:style w:type="character" w:customStyle="1" w:styleId="a5">
    <w:name w:val="Верхній колонтитул Знак"/>
    <w:basedOn w:val="a0"/>
    <w:uiPriority w:val="99"/>
    <w:qFormat/>
    <w:rsid w:val="0009451B"/>
    <w:rPr>
      <w:rFonts w:ascii="Times New Roman" w:eastAsia="Times New Roman" w:hAnsi="Times New Roman" w:cs="Times New Roman"/>
      <w:sz w:val="24"/>
      <w:szCs w:val="24"/>
      <w:lang w:eastAsia="ru-RU"/>
    </w:rPr>
  </w:style>
  <w:style w:type="character" w:styleId="a6">
    <w:name w:val="Hyperlink"/>
    <w:basedOn w:val="a0"/>
    <w:uiPriority w:val="99"/>
    <w:unhideWhenUsed/>
    <w:rsid w:val="0009451B"/>
    <w:rPr>
      <w:color w:val="0563C1" w:themeColor="hyperlink"/>
      <w:u w:val="single"/>
    </w:rPr>
  </w:style>
  <w:style w:type="character" w:customStyle="1" w:styleId="a7">
    <w:name w:val="Текст у виносці Знак"/>
    <w:basedOn w:val="a0"/>
    <w:uiPriority w:val="99"/>
    <w:semiHidden/>
    <w:qFormat/>
    <w:rsid w:val="00F05310"/>
    <w:rPr>
      <w:rFonts w:ascii="Segoe UI" w:eastAsia="Times New Roman" w:hAnsi="Segoe UI" w:cs="Segoe UI"/>
      <w:sz w:val="18"/>
      <w:szCs w:val="18"/>
      <w:lang w:eastAsia="ru-RU"/>
    </w:rPr>
  </w:style>
  <w:style w:type="character" w:customStyle="1" w:styleId="ins">
    <w:name w:val="ins"/>
    <w:qFormat/>
  </w:style>
  <w:style w:type="paragraph" w:customStyle="1" w:styleId="10">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rPr>
  </w:style>
  <w:style w:type="paragraph" w:customStyle="1" w:styleId="ab">
    <w:name w:val="Покажчик"/>
    <w:basedOn w:val="a"/>
    <w:qFormat/>
    <w:pPr>
      <w:suppressLineNumbers/>
    </w:pPr>
    <w:rPr>
      <w:rFonts w:cs="Arial"/>
    </w:rPr>
  </w:style>
  <w:style w:type="paragraph" w:customStyle="1" w:styleId="11">
    <w:name w:val="Обычный1"/>
    <w:qFormat/>
    <w:rsid w:val="0009451B"/>
    <w:rPr>
      <w:rFonts w:ascii="Times New Roman" w:eastAsia="Times New Roman" w:hAnsi="Times New Roman" w:cs="Times New Roman"/>
      <w:sz w:val="24"/>
      <w:szCs w:val="20"/>
      <w:lang w:eastAsia="uk-UA"/>
    </w:rPr>
  </w:style>
  <w:style w:type="paragraph" w:styleId="ac">
    <w:name w:val="Normal (Web)"/>
    <w:aliases w:val="Обычный (Web),Обычный (Web)1,Обычный (веб) Знак1,Знак13 Знак,Обычный (веб) Знак Знак Знак,Обычный (веб)1,Обычный (веб) Знак Знак Знак Знак Знак Знак Знак1 Знак Знак,Обычный (веб)3,Обычный (веб)11,Обычный (веб)211 Знак,Обычный (веб) Знак"/>
    <w:basedOn w:val="a"/>
    <w:qFormat/>
    <w:pPr>
      <w:spacing w:before="280" w:after="280"/>
    </w:pPr>
  </w:style>
  <w:style w:type="paragraph" w:customStyle="1" w:styleId="CharCharCharChar">
    <w:name w:val="Char Знак Знак Char Знак Знак Char Знак Знак Char Знак Знак Знак"/>
    <w:basedOn w:val="a"/>
    <w:link w:val="1"/>
    <w:qFormat/>
    <w:rsid w:val="0009451B"/>
    <w:rPr>
      <w:rFonts w:ascii="Verdana" w:hAnsi="Verdana" w:cs="Verdana"/>
      <w:sz w:val="20"/>
      <w:szCs w:val="20"/>
      <w:lang w:val="en-US" w:eastAsia="en-US"/>
    </w:rPr>
  </w:style>
  <w:style w:type="paragraph" w:customStyle="1" w:styleId="ad">
    <w:name w:val="Верхній і нижній колонтитули"/>
    <w:basedOn w:val="a"/>
    <w:qFormat/>
  </w:style>
  <w:style w:type="paragraph" w:styleId="ae">
    <w:name w:val="header"/>
    <w:basedOn w:val="a"/>
    <w:uiPriority w:val="99"/>
    <w:unhideWhenUsed/>
    <w:rsid w:val="0009451B"/>
    <w:pPr>
      <w:tabs>
        <w:tab w:val="center" w:pos="4819"/>
        <w:tab w:val="right" w:pos="9639"/>
      </w:tabs>
    </w:pPr>
  </w:style>
  <w:style w:type="paragraph" w:styleId="af">
    <w:name w:val="Balloon Text"/>
    <w:basedOn w:val="a"/>
    <w:uiPriority w:val="99"/>
    <w:semiHidden/>
    <w:unhideWhenUsed/>
    <w:qFormat/>
    <w:rsid w:val="00F05310"/>
    <w:rPr>
      <w:rFonts w:ascii="Segoe UI" w:hAnsi="Segoe UI" w:cs="Segoe UI"/>
      <w:sz w:val="18"/>
      <w:szCs w:val="18"/>
    </w:rPr>
  </w:style>
  <w:style w:type="paragraph" w:customStyle="1" w:styleId="Default">
    <w:name w:val="Default"/>
    <w:qFormat/>
    <w:rsid w:val="0091549F"/>
    <w:rPr>
      <w:rFonts w:ascii="Times New Roman" w:eastAsia="Calibri" w:hAnsi="Times New Roman" w:cs="Times New Roman"/>
      <w:color w:val="000000"/>
      <w:sz w:val="24"/>
      <w:szCs w:val="24"/>
    </w:rPr>
  </w:style>
  <w:style w:type="paragraph" w:customStyle="1" w:styleId="tj">
    <w:name w:val="tj"/>
    <w:basedOn w:val="a"/>
    <w:rsid w:val="00BB292E"/>
    <w:pPr>
      <w:spacing w:before="100" w:beforeAutospacing="1" w:after="100" w:afterAutospacing="1"/>
    </w:pPr>
    <w:rPr>
      <w:lang w:eastAsia="uk-UA"/>
    </w:rPr>
  </w:style>
  <w:style w:type="paragraph" w:styleId="af0">
    <w:name w:val="List Paragraph"/>
    <w:basedOn w:val="a"/>
    <w:uiPriority w:val="34"/>
    <w:qFormat/>
    <w:rsid w:val="00286F5D"/>
    <w:pPr>
      <w:ind w:left="720"/>
      <w:contextualSpacing/>
    </w:pPr>
  </w:style>
  <w:style w:type="character" w:customStyle="1" w:styleId="af1">
    <w:name w:val="Основной текст_"/>
    <w:link w:val="4"/>
    <w:locked/>
    <w:rsid w:val="00294289"/>
    <w:rPr>
      <w:rFonts w:ascii="Times New Roman" w:hAnsi="Times New Roman" w:cs="Times New Roman"/>
      <w:shd w:val="clear" w:color="auto" w:fill="FFFFFF"/>
    </w:rPr>
  </w:style>
  <w:style w:type="paragraph" w:customStyle="1" w:styleId="4">
    <w:name w:val="Основной текст4"/>
    <w:basedOn w:val="a"/>
    <w:link w:val="af1"/>
    <w:rsid w:val="00294289"/>
    <w:pPr>
      <w:widowControl w:val="0"/>
      <w:shd w:val="clear" w:color="auto" w:fill="FFFFFF"/>
      <w:spacing w:after="300" w:line="317" w:lineRule="exact"/>
    </w:pPr>
    <w:rPr>
      <w:rFonts w:eastAsiaTheme="minorHAnsi"/>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316042">
      <w:bodyDiv w:val="1"/>
      <w:marLeft w:val="0"/>
      <w:marRight w:val="0"/>
      <w:marTop w:val="0"/>
      <w:marBottom w:val="0"/>
      <w:divBdr>
        <w:top w:val="none" w:sz="0" w:space="0" w:color="auto"/>
        <w:left w:val="none" w:sz="0" w:space="0" w:color="auto"/>
        <w:bottom w:val="none" w:sz="0" w:space="0" w:color="auto"/>
        <w:right w:val="none" w:sz="0" w:space="0" w:color="auto"/>
      </w:divBdr>
    </w:div>
    <w:div w:id="1322123854">
      <w:bodyDiv w:val="1"/>
      <w:marLeft w:val="0"/>
      <w:marRight w:val="0"/>
      <w:marTop w:val="0"/>
      <w:marBottom w:val="0"/>
      <w:divBdr>
        <w:top w:val="none" w:sz="0" w:space="0" w:color="auto"/>
        <w:left w:val="none" w:sz="0" w:space="0" w:color="auto"/>
        <w:bottom w:val="none" w:sz="0" w:space="0" w:color="auto"/>
        <w:right w:val="none" w:sz="0" w:space="0" w:color="auto"/>
      </w:divBdr>
    </w:div>
    <w:div w:id="1339309879">
      <w:bodyDiv w:val="1"/>
      <w:marLeft w:val="0"/>
      <w:marRight w:val="0"/>
      <w:marTop w:val="0"/>
      <w:marBottom w:val="0"/>
      <w:divBdr>
        <w:top w:val="none" w:sz="0" w:space="0" w:color="auto"/>
        <w:left w:val="none" w:sz="0" w:space="0" w:color="auto"/>
        <w:bottom w:val="none" w:sz="0" w:space="0" w:color="auto"/>
        <w:right w:val="none" w:sz="0" w:space="0" w:color="auto"/>
      </w:divBdr>
    </w:div>
    <w:div w:id="1809931179">
      <w:bodyDiv w:val="1"/>
      <w:marLeft w:val="0"/>
      <w:marRight w:val="0"/>
      <w:marTop w:val="0"/>
      <w:marBottom w:val="0"/>
      <w:divBdr>
        <w:top w:val="none" w:sz="0" w:space="0" w:color="auto"/>
        <w:left w:val="none" w:sz="0" w:space="0" w:color="auto"/>
        <w:bottom w:val="none" w:sz="0" w:space="0" w:color="auto"/>
        <w:right w:val="none" w:sz="0" w:space="0" w:color="auto"/>
      </w:divBdr>
    </w:div>
    <w:div w:id="1910921032">
      <w:bodyDiv w:val="1"/>
      <w:marLeft w:val="0"/>
      <w:marRight w:val="0"/>
      <w:marTop w:val="0"/>
      <w:marBottom w:val="0"/>
      <w:divBdr>
        <w:top w:val="none" w:sz="0" w:space="0" w:color="auto"/>
        <w:left w:val="none" w:sz="0" w:space="0" w:color="auto"/>
        <w:bottom w:val="none" w:sz="0" w:space="0" w:color="auto"/>
        <w:right w:val="none" w:sz="0" w:space="0" w:color="auto"/>
      </w:divBdr>
    </w:div>
    <w:div w:id="196897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744</Words>
  <Characters>5114</Characters>
  <Application>Microsoft Office Word</Application>
  <DocSecurity>0</DocSecurity>
  <Lines>104</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TAX</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revision>3</cp:revision>
  <cp:lastPrinted>2026-07-28T09:08:00Z</cp:lastPrinted>
  <dcterms:created xsi:type="dcterms:W3CDTF">2026-09-29T11:46:00Z</dcterms:created>
  <dcterms:modified xsi:type="dcterms:W3CDTF">2026-09-29T13:22:00Z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TAX</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