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F9733" w14:textId="77777777" w:rsidR="00DA6202" w:rsidRPr="00DA6202" w:rsidRDefault="00DA6202" w:rsidP="00DA6202">
      <w:pPr>
        <w:spacing w:after="0" w:line="240" w:lineRule="auto"/>
        <w:ind w:firstLine="567"/>
        <w:jc w:val="both"/>
        <w:rPr>
          <w:rFonts w:ascii="Times New Roman" w:eastAsia="Times New Roman" w:hAnsi="Times New Roman" w:cs="Times New Roman"/>
          <w:b/>
          <w:sz w:val="32"/>
          <w:szCs w:val="32"/>
        </w:rPr>
      </w:pPr>
      <w:r w:rsidRPr="00DA6202">
        <w:rPr>
          <w:rFonts w:ascii="Times New Roman" w:eastAsia="Times New Roman" w:hAnsi="Times New Roman" w:cs="Times New Roman"/>
          <w:b/>
          <w:sz w:val="32"/>
          <w:szCs w:val="32"/>
        </w:rPr>
        <w:t xml:space="preserve">Державна податкова служба України </w:t>
      </w:r>
    </w:p>
    <w:p w14:paraId="4706E359" w14:textId="21709354" w:rsidR="00DA6202" w:rsidRPr="00DA6202" w:rsidRDefault="00DA6202" w:rsidP="00DA6202">
      <w:pPr>
        <w:spacing w:after="0" w:line="240" w:lineRule="auto"/>
        <w:ind w:firstLine="567"/>
        <w:jc w:val="both"/>
        <w:rPr>
          <w:rFonts w:ascii="Times New Roman" w:eastAsia="Times New Roman" w:hAnsi="Times New Roman" w:cs="Times New Roman"/>
          <w:b/>
          <w:sz w:val="32"/>
          <w:szCs w:val="32"/>
        </w:rPr>
      </w:pPr>
      <w:r w:rsidRPr="00DA6202">
        <w:rPr>
          <w:rFonts w:ascii="Times New Roman" w:eastAsia="Times New Roman" w:hAnsi="Times New Roman" w:cs="Times New Roman"/>
          <w:b/>
          <w:sz w:val="32"/>
          <w:szCs w:val="32"/>
        </w:rPr>
        <w:t xml:space="preserve">ІПК </w:t>
      </w:r>
      <w:r w:rsidRPr="00DA6202">
        <w:rPr>
          <w:rFonts w:ascii="Times New Roman" w:eastAsia="Times New Roman" w:hAnsi="Times New Roman" w:cs="Times New Roman"/>
          <w:b/>
          <w:sz w:val="32"/>
          <w:szCs w:val="32"/>
        </w:rPr>
        <w:t xml:space="preserve">від 25.08.2026 р. </w:t>
      </w:r>
      <w:r w:rsidRPr="00DA6202">
        <w:rPr>
          <w:rFonts w:ascii="Times New Roman" w:eastAsia="Times New Roman" w:hAnsi="Times New Roman" w:cs="Times New Roman"/>
          <w:b/>
          <w:sz w:val="32"/>
          <w:szCs w:val="32"/>
        </w:rPr>
        <w:t>№5062/ІПК/99-00-21-02-02</w:t>
      </w:r>
    </w:p>
    <w:p w14:paraId="0D209B62" w14:textId="77777777" w:rsidR="00DA6202" w:rsidRDefault="00DA6202" w:rsidP="00DA6202">
      <w:pPr>
        <w:spacing w:after="0" w:line="240" w:lineRule="auto"/>
        <w:ind w:firstLine="567"/>
        <w:jc w:val="both"/>
        <w:rPr>
          <w:rFonts w:ascii="Times New Roman" w:eastAsia="Times New Roman" w:hAnsi="Times New Roman" w:cs="Times New Roman"/>
          <w:sz w:val="28"/>
        </w:rPr>
      </w:pPr>
    </w:p>
    <w:p w14:paraId="4BCF6357" w14:textId="77777777" w:rsidR="00DA6202" w:rsidRDefault="00DA6202" w:rsidP="00DA6202">
      <w:pPr>
        <w:spacing w:after="0" w:line="240" w:lineRule="auto"/>
        <w:ind w:firstLine="567"/>
        <w:jc w:val="both"/>
        <w:rPr>
          <w:rFonts w:ascii="Times New Roman" w:eastAsia="Times New Roman" w:hAnsi="Times New Roman" w:cs="Times New Roman"/>
          <w:sz w:val="28"/>
        </w:rPr>
      </w:pPr>
      <w:bookmarkStart w:id="0" w:name="_GoBack"/>
      <w:bookmarkEnd w:id="0"/>
    </w:p>
    <w:p w14:paraId="4C248E5F" w14:textId="34EB8EBB" w:rsidR="005C4B0B" w:rsidRPr="00330FDB" w:rsidRDefault="00C4663C" w:rsidP="00DA6202">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Державна податкова служба України за результатами розгляду зверне</w:t>
      </w:r>
      <w:r w:rsidR="006D6637" w:rsidRPr="00330FDB">
        <w:rPr>
          <w:rFonts w:ascii="Times New Roman" w:eastAsia="Times New Roman" w:hAnsi="Times New Roman" w:cs="Times New Roman"/>
          <w:sz w:val="27"/>
          <w:szCs w:val="27"/>
        </w:rPr>
        <w:t>ння</w:t>
      </w:r>
      <w:r w:rsidRPr="00330FDB">
        <w:rPr>
          <w:rFonts w:ascii="Times New Roman" w:eastAsia="Times New Roman" w:hAnsi="Times New Roman" w:cs="Times New Roman"/>
          <w:sz w:val="27"/>
          <w:szCs w:val="27"/>
        </w:rPr>
        <w:t xml:space="preserve"> </w:t>
      </w:r>
      <w:r w:rsidR="006D6637" w:rsidRPr="00330FDB">
        <w:rPr>
          <w:rFonts w:ascii="Times New Roman" w:eastAsia="Times New Roman" w:hAnsi="Times New Roman" w:cs="Times New Roman"/>
          <w:sz w:val="27"/>
          <w:szCs w:val="27"/>
        </w:rPr>
        <w:t>ТОВ «</w:t>
      </w:r>
      <w:r w:rsidR="00DA08F2" w:rsidRPr="00330FDB">
        <w:rPr>
          <w:rFonts w:ascii="Times New Roman" w:eastAsia="Times New Roman" w:hAnsi="Times New Roman" w:cs="Times New Roman"/>
          <w:sz w:val="27"/>
          <w:szCs w:val="27"/>
        </w:rPr>
        <w:t xml:space="preserve">» </w:t>
      </w:r>
      <w:r w:rsidRPr="00330FDB">
        <w:rPr>
          <w:rFonts w:ascii="Times New Roman" w:eastAsia="Times New Roman" w:hAnsi="Times New Roman" w:cs="Times New Roman"/>
          <w:sz w:val="27"/>
          <w:szCs w:val="27"/>
        </w:rPr>
        <w:t xml:space="preserve">(далі – </w:t>
      </w:r>
      <w:r w:rsidR="00DA08F2" w:rsidRPr="00330FDB">
        <w:rPr>
          <w:rFonts w:ascii="Times New Roman" w:eastAsia="Times New Roman" w:hAnsi="Times New Roman" w:cs="Times New Roman"/>
          <w:sz w:val="27"/>
          <w:szCs w:val="27"/>
        </w:rPr>
        <w:t>ТОВ</w:t>
      </w:r>
      <w:r w:rsidRPr="00330FDB">
        <w:rPr>
          <w:rFonts w:ascii="Times New Roman" w:eastAsia="Times New Roman" w:hAnsi="Times New Roman" w:cs="Times New Roman"/>
          <w:sz w:val="27"/>
          <w:szCs w:val="27"/>
        </w:rPr>
        <w:t>) щодо</w:t>
      </w:r>
      <w:r w:rsidR="006D6637" w:rsidRPr="00330FDB">
        <w:rPr>
          <w:rFonts w:ascii="Times New Roman" w:hAnsi="Times New Roman" w:cs="Times New Roman"/>
          <w:sz w:val="27"/>
          <w:szCs w:val="27"/>
        </w:rPr>
        <w:t xml:space="preserve"> </w:t>
      </w:r>
      <w:r w:rsidR="00A02BDC" w:rsidRPr="00330FDB">
        <w:rPr>
          <w:rFonts w:ascii="Times New Roman" w:hAnsi="Times New Roman" w:cs="Times New Roman"/>
          <w:sz w:val="27"/>
          <w:szCs w:val="27"/>
        </w:rPr>
        <w:t xml:space="preserve">розрахунку граничної суми збитків минулих років та </w:t>
      </w:r>
      <w:r w:rsidR="004B65B9" w:rsidRPr="00330FDB">
        <w:rPr>
          <w:rFonts w:ascii="Times New Roman" w:eastAsia="Times New Roman" w:hAnsi="Times New Roman" w:cs="Times New Roman"/>
          <w:sz w:val="27"/>
          <w:szCs w:val="27"/>
        </w:rPr>
        <w:t xml:space="preserve">відображення </w:t>
      </w:r>
      <w:r w:rsidR="00A02BDC" w:rsidRPr="00330FDB">
        <w:rPr>
          <w:rFonts w:ascii="Times New Roman" w:eastAsia="Times New Roman" w:hAnsi="Times New Roman" w:cs="Times New Roman"/>
          <w:sz w:val="27"/>
          <w:szCs w:val="27"/>
        </w:rPr>
        <w:t xml:space="preserve">їх </w:t>
      </w:r>
      <w:r w:rsidR="00826B12" w:rsidRPr="00330FDB">
        <w:rPr>
          <w:rFonts w:ascii="Times New Roman" w:eastAsia="Times New Roman" w:hAnsi="Times New Roman" w:cs="Times New Roman"/>
          <w:sz w:val="27"/>
          <w:szCs w:val="27"/>
        </w:rPr>
        <w:t>у</w:t>
      </w:r>
      <w:r w:rsidR="006D6637" w:rsidRPr="00330FDB">
        <w:rPr>
          <w:rFonts w:ascii="Times New Roman" w:eastAsia="Times New Roman" w:hAnsi="Times New Roman" w:cs="Times New Roman"/>
          <w:sz w:val="27"/>
          <w:szCs w:val="27"/>
        </w:rPr>
        <w:t xml:space="preserve"> </w:t>
      </w:r>
      <w:r w:rsidR="007E2550" w:rsidRPr="00330FDB">
        <w:rPr>
          <w:rFonts w:ascii="Times New Roman" w:eastAsia="Times New Roman" w:hAnsi="Times New Roman" w:cs="Times New Roman"/>
          <w:sz w:val="27"/>
          <w:szCs w:val="27"/>
        </w:rPr>
        <w:t>п</w:t>
      </w:r>
      <w:r w:rsidR="003267D3" w:rsidRPr="00330FDB">
        <w:rPr>
          <w:rFonts w:ascii="Times New Roman" w:eastAsia="Times New Roman" w:hAnsi="Times New Roman" w:cs="Times New Roman"/>
          <w:sz w:val="27"/>
          <w:szCs w:val="27"/>
        </w:rPr>
        <w:t xml:space="preserve">одатковій </w:t>
      </w:r>
      <w:r w:rsidR="006D6637" w:rsidRPr="00330FDB">
        <w:rPr>
          <w:rFonts w:ascii="Times New Roman" w:eastAsia="Times New Roman" w:hAnsi="Times New Roman" w:cs="Times New Roman"/>
          <w:sz w:val="27"/>
          <w:szCs w:val="27"/>
        </w:rPr>
        <w:t>декларації з податку на прибуток підприємс</w:t>
      </w:r>
      <w:r w:rsidR="003267D3" w:rsidRPr="00330FDB">
        <w:rPr>
          <w:rFonts w:ascii="Times New Roman" w:eastAsia="Times New Roman" w:hAnsi="Times New Roman" w:cs="Times New Roman"/>
          <w:sz w:val="27"/>
          <w:szCs w:val="27"/>
        </w:rPr>
        <w:t xml:space="preserve">тв, </w:t>
      </w:r>
      <w:r w:rsidRPr="00330FDB">
        <w:rPr>
          <w:rFonts w:ascii="Times New Roman" w:eastAsia="Times New Roman" w:hAnsi="Times New Roman" w:cs="Times New Roman"/>
          <w:sz w:val="27"/>
          <w:szCs w:val="27"/>
        </w:rPr>
        <w:t xml:space="preserve">та, керуючись ст. 52 </w:t>
      </w:r>
      <w:r w:rsidR="002F5091" w:rsidRPr="00330FDB">
        <w:rPr>
          <w:rFonts w:ascii="Times New Roman" w:eastAsia="Times New Roman" w:hAnsi="Times New Roman" w:cs="Times New Roman"/>
          <w:sz w:val="27"/>
          <w:szCs w:val="27"/>
        </w:rPr>
        <w:t>Податкового к</w:t>
      </w:r>
      <w:r w:rsidR="009B3E23" w:rsidRPr="00330FDB">
        <w:rPr>
          <w:rFonts w:ascii="Times New Roman" w:eastAsia="Times New Roman" w:hAnsi="Times New Roman" w:cs="Times New Roman"/>
          <w:sz w:val="27"/>
          <w:szCs w:val="27"/>
        </w:rPr>
        <w:t>одексу</w:t>
      </w:r>
      <w:r w:rsidR="002F5091" w:rsidRPr="00330FDB">
        <w:rPr>
          <w:rFonts w:ascii="Times New Roman" w:eastAsia="Times New Roman" w:hAnsi="Times New Roman" w:cs="Times New Roman"/>
          <w:sz w:val="27"/>
          <w:szCs w:val="27"/>
        </w:rPr>
        <w:t xml:space="preserve"> України (далі – Кодекс)</w:t>
      </w:r>
      <w:r w:rsidR="009B3E23" w:rsidRPr="00330FDB">
        <w:rPr>
          <w:rFonts w:ascii="Times New Roman" w:eastAsia="Times New Roman" w:hAnsi="Times New Roman" w:cs="Times New Roman"/>
          <w:sz w:val="27"/>
          <w:szCs w:val="27"/>
        </w:rPr>
        <w:t xml:space="preserve"> </w:t>
      </w:r>
      <w:r w:rsidRPr="00330FDB">
        <w:rPr>
          <w:rFonts w:ascii="Times New Roman" w:eastAsia="Times New Roman" w:hAnsi="Times New Roman" w:cs="Times New Roman"/>
          <w:sz w:val="27"/>
          <w:szCs w:val="27"/>
        </w:rPr>
        <w:t>в межах компетенції повідомляє.</w:t>
      </w:r>
    </w:p>
    <w:p w14:paraId="3176A216" w14:textId="77777777" w:rsidR="00A02BDC" w:rsidRPr="00330FDB" w:rsidRDefault="00C4663C" w:rsidP="00AE5754">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Як зазначено у зверненні,</w:t>
      </w:r>
      <w:r w:rsidR="00AE5754" w:rsidRPr="00330FDB">
        <w:rPr>
          <w:rFonts w:ascii="Times New Roman" w:eastAsia="Times New Roman" w:hAnsi="Times New Roman" w:cs="Times New Roman"/>
          <w:sz w:val="27"/>
          <w:szCs w:val="27"/>
        </w:rPr>
        <w:t xml:space="preserve"> </w:t>
      </w:r>
      <w:r w:rsidR="00A02BDC" w:rsidRPr="00330FDB">
        <w:rPr>
          <w:rFonts w:ascii="Times New Roman" w:eastAsia="Times New Roman" w:hAnsi="Times New Roman" w:cs="Times New Roman"/>
          <w:sz w:val="27"/>
          <w:szCs w:val="27"/>
        </w:rPr>
        <w:t>ТОВ є платником податку на прибуток на загальних підставах.</w:t>
      </w:r>
    </w:p>
    <w:p w14:paraId="2F34FC16" w14:textId="77777777" w:rsidR="00A02BDC" w:rsidRPr="00330FDB" w:rsidRDefault="00A02BDC" w:rsidP="00AE5754">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Починаючи з 01.01.2024 ТОВ набуло статусу великого платника податків та включено до </w:t>
      </w:r>
      <w:r w:rsidR="00FA22BF" w:rsidRPr="00330FDB">
        <w:rPr>
          <w:rFonts w:ascii="Times New Roman" w:eastAsia="Times New Roman" w:hAnsi="Times New Roman" w:cs="Times New Roman"/>
          <w:sz w:val="27"/>
          <w:szCs w:val="27"/>
        </w:rPr>
        <w:t>Реєстр</w:t>
      </w:r>
      <w:r w:rsidRPr="00330FDB">
        <w:rPr>
          <w:rFonts w:ascii="Times New Roman" w:eastAsia="Times New Roman" w:hAnsi="Times New Roman" w:cs="Times New Roman"/>
          <w:sz w:val="27"/>
          <w:szCs w:val="27"/>
        </w:rPr>
        <w:t>у</w:t>
      </w:r>
      <w:r w:rsidR="00FA22BF" w:rsidRPr="00330FDB">
        <w:rPr>
          <w:rFonts w:ascii="Times New Roman" w:eastAsia="Times New Roman" w:hAnsi="Times New Roman" w:cs="Times New Roman"/>
          <w:sz w:val="27"/>
          <w:szCs w:val="27"/>
        </w:rPr>
        <w:t xml:space="preserve"> великих платників податків (далі – Реєстр</w:t>
      </w:r>
      <w:r w:rsidR="00CA6F0F" w:rsidRPr="00330FDB">
        <w:rPr>
          <w:rFonts w:ascii="Times New Roman" w:eastAsia="Times New Roman" w:hAnsi="Times New Roman" w:cs="Times New Roman"/>
          <w:sz w:val="27"/>
          <w:szCs w:val="27"/>
        </w:rPr>
        <w:t xml:space="preserve"> ВПП</w:t>
      </w:r>
      <w:r w:rsidR="00FA22BF" w:rsidRPr="00330FDB">
        <w:rPr>
          <w:rFonts w:ascii="Times New Roman" w:eastAsia="Times New Roman" w:hAnsi="Times New Roman" w:cs="Times New Roman"/>
          <w:sz w:val="27"/>
          <w:szCs w:val="27"/>
        </w:rPr>
        <w:t xml:space="preserve">). </w:t>
      </w:r>
    </w:p>
    <w:p w14:paraId="1EB7A685" w14:textId="77777777" w:rsidR="00A02BDC" w:rsidRPr="00330FDB" w:rsidRDefault="00A02BDC" w:rsidP="00AE5754">
      <w:pPr>
        <w:spacing w:after="0" w:line="240" w:lineRule="auto"/>
        <w:ind w:firstLine="567"/>
        <w:jc w:val="both"/>
        <w:rPr>
          <w:rFonts w:ascii="Times New Roman" w:eastAsia="Times New Roman" w:hAnsi="Times New Roman" w:cs="Times New Roman"/>
          <w:sz w:val="27"/>
          <w:szCs w:val="27"/>
        </w:rPr>
      </w:pPr>
      <w:bookmarkStart w:id="1" w:name="_Hlk238111680"/>
      <w:r w:rsidRPr="00330FDB">
        <w:rPr>
          <w:rFonts w:ascii="Times New Roman" w:eastAsia="Times New Roman" w:hAnsi="Times New Roman" w:cs="Times New Roman"/>
          <w:sz w:val="27"/>
          <w:szCs w:val="27"/>
        </w:rPr>
        <w:t>Станом на 01.01.2024 ТОВ мало непогашену суму від’ємного значення об’єкта оподаткування (податкові збитки) минулих податкових періодів.</w:t>
      </w:r>
    </w:p>
    <w:bookmarkEnd w:id="1"/>
    <w:p w14:paraId="067BFD95" w14:textId="77777777" w:rsidR="00BE6F4D" w:rsidRPr="00330FDB" w:rsidRDefault="00A02BDC" w:rsidP="00AE5754">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ТОВ при складанні Податкової декларації з податку на прибуток підприємств, затвердженої наказом Міністерства фінансів України від 20.10.2015 № 897 (зі змінами) </w:t>
      </w:r>
      <w:r w:rsidR="00CD4805" w:rsidRPr="00330FDB">
        <w:rPr>
          <w:rFonts w:ascii="Times New Roman" w:eastAsia="Times New Roman" w:hAnsi="Times New Roman" w:cs="Times New Roman"/>
          <w:sz w:val="27"/>
          <w:szCs w:val="27"/>
        </w:rPr>
        <w:t xml:space="preserve">(далі – Декларація) </w:t>
      </w:r>
      <w:r w:rsidRPr="00330FDB">
        <w:rPr>
          <w:rFonts w:ascii="Times New Roman" w:eastAsia="Times New Roman" w:hAnsi="Times New Roman" w:cs="Times New Roman"/>
          <w:sz w:val="27"/>
          <w:szCs w:val="27"/>
        </w:rPr>
        <w:t xml:space="preserve">за 2024 рік включило до рядка 3.2.4 </w:t>
      </w:r>
      <w:r w:rsidR="00BE6F4D" w:rsidRPr="00330FDB">
        <w:rPr>
          <w:rFonts w:ascii="Times New Roman" w:eastAsia="Times New Roman" w:hAnsi="Times New Roman" w:cs="Times New Roman"/>
          <w:sz w:val="27"/>
          <w:szCs w:val="27"/>
        </w:rPr>
        <w:t>Додатка РІ 50% від суми збитків, які виникли станом на 01.01.2024.</w:t>
      </w:r>
    </w:p>
    <w:p w14:paraId="5DBBF89F" w14:textId="77777777" w:rsidR="00CD4805" w:rsidRPr="00330FDB" w:rsidRDefault="00BE6F4D" w:rsidP="00AE5754">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За результатами фінансово-господарської діяльності у 2024 році, з урахуванням проведених коригувань ( у тому числі зазначеного вище обмеженого перенесення збитків), ТОВ </w:t>
      </w:r>
      <w:r w:rsidR="004407E0" w:rsidRPr="00330FDB">
        <w:rPr>
          <w:rFonts w:ascii="Times New Roman" w:eastAsia="Times New Roman" w:hAnsi="Times New Roman" w:cs="Times New Roman"/>
          <w:sz w:val="27"/>
          <w:szCs w:val="27"/>
        </w:rPr>
        <w:t xml:space="preserve">отримало загальне </w:t>
      </w:r>
      <w:r w:rsidR="004716A8" w:rsidRPr="00330FDB">
        <w:rPr>
          <w:rFonts w:ascii="Times New Roman" w:eastAsia="Times New Roman" w:hAnsi="Times New Roman" w:cs="Times New Roman"/>
          <w:sz w:val="27"/>
          <w:szCs w:val="27"/>
        </w:rPr>
        <w:t>від’ємне</w:t>
      </w:r>
      <w:r w:rsidR="004407E0" w:rsidRPr="00330FDB">
        <w:rPr>
          <w:rFonts w:ascii="Times New Roman" w:eastAsia="Times New Roman" w:hAnsi="Times New Roman" w:cs="Times New Roman"/>
          <w:sz w:val="27"/>
          <w:szCs w:val="27"/>
        </w:rPr>
        <w:t xml:space="preserve"> значення</w:t>
      </w:r>
      <w:r w:rsidR="00CD4805" w:rsidRPr="00330FDB">
        <w:rPr>
          <w:rFonts w:ascii="Times New Roman" w:eastAsia="Times New Roman" w:hAnsi="Times New Roman" w:cs="Times New Roman"/>
          <w:sz w:val="27"/>
          <w:szCs w:val="27"/>
        </w:rPr>
        <w:t xml:space="preserve"> об’єкта оподаткування</w:t>
      </w:r>
      <w:r w:rsidR="004407E0" w:rsidRPr="00330FDB">
        <w:rPr>
          <w:rFonts w:ascii="Times New Roman" w:eastAsia="Times New Roman" w:hAnsi="Times New Roman" w:cs="Times New Roman"/>
          <w:sz w:val="27"/>
          <w:szCs w:val="27"/>
        </w:rPr>
        <w:t xml:space="preserve">. </w:t>
      </w:r>
    </w:p>
    <w:p w14:paraId="0F3DCE25" w14:textId="77777777" w:rsidR="003267D3" w:rsidRPr="00330FDB" w:rsidRDefault="003267D3" w:rsidP="00AE5754">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ТОВ </w:t>
      </w:r>
      <w:r w:rsidR="00AE5754" w:rsidRPr="00330FDB">
        <w:rPr>
          <w:rFonts w:ascii="Times New Roman" w:eastAsia="Times New Roman" w:hAnsi="Times New Roman" w:cs="Times New Roman"/>
          <w:sz w:val="27"/>
          <w:szCs w:val="27"/>
        </w:rPr>
        <w:t xml:space="preserve">просить надати індивідуальну податкову консультацію з </w:t>
      </w:r>
      <w:r w:rsidR="00F07C2B" w:rsidRPr="00330FDB">
        <w:rPr>
          <w:rFonts w:ascii="Times New Roman" w:eastAsia="Times New Roman" w:hAnsi="Times New Roman" w:cs="Times New Roman"/>
          <w:sz w:val="27"/>
          <w:szCs w:val="27"/>
        </w:rPr>
        <w:t xml:space="preserve">таких </w:t>
      </w:r>
      <w:r w:rsidR="00AE5754" w:rsidRPr="00330FDB">
        <w:rPr>
          <w:rFonts w:ascii="Times New Roman" w:eastAsia="Times New Roman" w:hAnsi="Times New Roman" w:cs="Times New Roman"/>
          <w:sz w:val="27"/>
          <w:szCs w:val="27"/>
        </w:rPr>
        <w:t>питан</w:t>
      </w:r>
      <w:r w:rsidR="00F07C2B" w:rsidRPr="00330FDB">
        <w:rPr>
          <w:rFonts w:ascii="Times New Roman" w:eastAsia="Times New Roman" w:hAnsi="Times New Roman" w:cs="Times New Roman"/>
          <w:sz w:val="27"/>
          <w:szCs w:val="27"/>
        </w:rPr>
        <w:t>ь</w:t>
      </w:r>
      <w:r w:rsidRPr="00330FDB">
        <w:rPr>
          <w:rFonts w:ascii="Times New Roman" w:eastAsia="Times New Roman" w:hAnsi="Times New Roman" w:cs="Times New Roman"/>
          <w:sz w:val="27"/>
          <w:szCs w:val="27"/>
        </w:rPr>
        <w:t>:</w:t>
      </w:r>
    </w:p>
    <w:p w14:paraId="511A27E0" w14:textId="77777777" w:rsidR="00CD4805" w:rsidRPr="00330FDB" w:rsidRDefault="00CD4805" w:rsidP="00CD4805">
      <w:pPr>
        <w:pStyle w:val="a7"/>
        <w:numPr>
          <w:ilvl w:val="0"/>
          <w:numId w:val="1"/>
        </w:numPr>
        <w:spacing w:after="0" w:line="240" w:lineRule="auto"/>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Яку конкретну математичну формулу та алгоритм дій (з посиланням на рядки Декларації та Додатка РІ) має застосувати ТОВ для розрахунку граничної суми збитків минулих років, яку дозволено включити до рядка 3.2.4 Додатка РІ у 2025 році за вищеописаних обставин?</w:t>
      </w:r>
    </w:p>
    <w:p w14:paraId="73788C52" w14:textId="443C7442" w:rsidR="00C701BE" w:rsidRPr="00330FDB" w:rsidRDefault="00D01CB3" w:rsidP="00CD4805">
      <w:pPr>
        <w:pStyle w:val="a7"/>
        <w:numPr>
          <w:ilvl w:val="0"/>
          <w:numId w:val="1"/>
        </w:numPr>
        <w:spacing w:after="0" w:line="240" w:lineRule="auto"/>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Як</w:t>
      </w:r>
      <w:r w:rsidR="00CD4805" w:rsidRPr="00330FDB">
        <w:rPr>
          <w:rFonts w:ascii="Times New Roman" w:eastAsia="Times New Roman" w:hAnsi="Times New Roman" w:cs="Times New Roman"/>
          <w:sz w:val="27"/>
          <w:szCs w:val="27"/>
        </w:rPr>
        <w:t xml:space="preserve">а саме сума (із наведених у описі обставин) вважається «непогашеною сумою </w:t>
      </w:r>
      <w:r w:rsidR="00C701BE" w:rsidRPr="00330FDB">
        <w:rPr>
          <w:rFonts w:ascii="Times New Roman" w:eastAsia="Times New Roman" w:hAnsi="Times New Roman" w:cs="Times New Roman"/>
          <w:sz w:val="27"/>
          <w:szCs w:val="27"/>
        </w:rPr>
        <w:t>від’ємного</w:t>
      </w:r>
      <w:r w:rsidR="00CD4805" w:rsidRPr="00330FDB">
        <w:rPr>
          <w:rFonts w:ascii="Times New Roman" w:eastAsia="Times New Roman" w:hAnsi="Times New Roman" w:cs="Times New Roman"/>
          <w:sz w:val="27"/>
          <w:szCs w:val="27"/>
        </w:rPr>
        <w:t xml:space="preserve"> значення </w:t>
      </w:r>
      <w:r w:rsidR="00C701BE" w:rsidRPr="00330FDB">
        <w:rPr>
          <w:rFonts w:ascii="Times New Roman" w:eastAsia="Times New Roman" w:hAnsi="Times New Roman" w:cs="Times New Roman"/>
          <w:sz w:val="27"/>
          <w:szCs w:val="27"/>
        </w:rPr>
        <w:t>об’єкта</w:t>
      </w:r>
      <w:r w:rsidR="00CD4805" w:rsidRPr="00330FDB">
        <w:rPr>
          <w:rFonts w:ascii="Times New Roman" w:eastAsia="Times New Roman" w:hAnsi="Times New Roman" w:cs="Times New Roman"/>
          <w:sz w:val="27"/>
          <w:szCs w:val="27"/>
        </w:rPr>
        <w:t xml:space="preserve"> оподаткування</w:t>
      </w:r>
      <w:r w:rsidR="00C701BE" w:rsidRPr="00330FDB">
        <w:rPr>
          <w:rFonts w:ascii="Times New Roman" w:eastAsia="Times New Roman" w:hAnsi="Times New Roman" w:cs="Times New Roman"/>
          <w:sz w:val="27"/>
          <w:szCs w:val="27"/>
        </w:rPr>
        <w:t xml:space="preserve"> минулих років» станом на 01.01.2025 для розрахунку 50-відсоткового обмеження згідно з </w:t>
      </w:r>
      <w:proofErr w:type="spellStart"/>
      <w:r w:rsidR="00C701BE" w:rsidRPr="00330FDB">
        <w:rPr>
          <w:rFonts w:ascii="Times New Roman" w:eastAsia="Times New Roman" w:hAnsi="Times New Roman" w:cs="Times New Roman"/>
          <w:sz w:val="27"/>
          <w:szCs w:val="27"/>
        </w:rPr>
        <w:t>п.п</w:t>
      </w:r>
      <w:proofErr w:type="spellEnd"/>
      <w:r w:rsidR="00C701BE" w:rsidRPr="00330FDB">
        <w:rPr>
          <w:rFonts w:ascii="Times New Roman" w:eastAsia="Times New Roman" w:hAnsi="Times New Roman" w:cs="Times New Roman"/>
          <w:sz w:val="27"/>
          <w:szCs w:val="27"/>
        </w:rPr>
        <w:t>. 140.4.4 п. 140.4 ст. 140 Кодексу?</w:t>
      </w:r>
    </w:p>
    <w:p w14:paraId="72AC1EB8" w14:textId="77777777" w:rsidR="00F07C2B" w:rsidRPr="00330FDB" w:rsidRDefault="00C701BE" w:rsidP="00CD4805">
      <w:pPr>
        <w:pStyle w:val="a7"/>
        <w:numPr>
          <w:ilvl w:val="0"/>
          <w:numId w:val="1"/>
        </w:numPr>
        <w:spacing w:after="0" w:line="240" w:lineRule="auto"/>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Чи включається сума збитку, що виникла безпосередньо за результатами 2024 року, до загального обсягу накопичених збитків, від яких у 2025 році вираховуватиметься ліміт 50%, чи вона підлягає перенесенню окремо у повному обсязі?</w:t>
      </w:r>
      <w:r w:rsidR="00D01CB3" w:rsidRPr="00330FDB">
        <w:rPr>
          <w:rFonts w:ascii="Times New Roman" w:eastAsia="Times New Roman" w:hAnsi="Times New Roman" w:cs="Times New Roman"/>
          <w:sz w:val="27"/>
          <w:szCs w:val="27"/>
        </w:rPr>
        <w:t xml:space="preserve"> </w:t>
      </w:r>
    </w:p>
    <w:p w14:paraId="50237FA4" w14:textId="77777777" w:rsidR="0049779B" w:rsidRPr="00330FDB" w:rsidRDefault="0049779B" w:rsidP="00B66E67">
      <w:pPr>
        <w:spacing w:after="0" w:line="240" w:lineRule="auto"/>
        <w:ind w:firstLine="567"/>
        <w:jc w:val="both"/>
        <w:rPr>
          <w:rFonts w:ascii="Times New Roman" w:eastAsia="Times New Roman" w:hAnsi="Times New Roman" w:cs="Times New Roman"/>
          <w:sz w:val="27"/>
          <w:szCs w:val="27"/>
        </w:rPr>
      </w:pPr>
    </w:p>
    <w:p w14:paraId="7CE487B9" w14:textId="77777777" w:rsidR="00B66E67" w:rsidRPr="00330FDB" w:rsidRDefault="00B66E67" w:rsidP="00B66E67">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Відповідно до </w:t>
      </w:r>
      <w:proofErr w:type="spellStart"/>
      <w:r w:rsidRPr="00330FDB">
        <w:rPr>
          <w:rFonts w:ascii="Times New Roman" w:eastAsia="Times New Roman" w:hAnsi="Times New Roman" w:cs="Times New Roman"/>
          <w:sz w:val="27"/>
          <w:szCs w:val="27"/>
        </w:rPr>
        <w:t>п.п</w:t>
      </w:r>
      <w:proofErr w:type="spellEnd"/>
      <w:r w:rsidRPr="00330FDB">
        <w:rPr>
          <w:rFonts w:ascii="Times New Roman" w:eastAsia="Times New Roman" w:hAnsi="Times New Roman" w:cs="Times New Roman"/>
          <w:sz w:val="27"/>
          <w:szCs w:val="27"/>
        </w:rPr>
        <w:t xml:space="preserve">. 14.1.24 п. 14.1 ст. 14 Кодексу великим платником податків вважається юридична особа або постійне представництво нерезидента на території України, у якої обсяг доходу від усіх видів діяльності за останні чотири послідовні податкові (звітні) квартали перевищує еквівалент 50 мільйонів євро, визначений за середньозваженим офіційним курсом Національного банку України за той самий період, або загальна сума податків, зборів, платежів, сплачених до Державного бюджету України, контроль за справлянням яких покладено на контролюючі </w:t>
      </w:r>
      <w:r w:rsidRPr="00330FDB">
        <w:rPr>
          <w:rFonts w:ascii="Times New Roman" w:eastAsia="Times New Roman" w:hAnsi="Times New Roman" w:cs="Times New Roman"/>
          <w:sz w:val="27"/>
          <w:szCs w:val="27"/>
        </w:rPr>
        <w:lastRenderedPageBreak/>
        <w:t>органи, крім митних платежів, за такий самий період перевищує еквівалент 1,5 мільйона євро, визначений за середньозваженим офіційним курсом Національного банку України за той самий період.</w:t>
      </w:r>
    </w:p>
    <w:p w14:paraId="6637B98B" w14:textId="77777777" w:rsidR="00B66E67" w:rsidRPr="00330FDB" w:rsidRDefault="00B66E67" w:rsidP="00B66E67">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Згідно з п. 64.7 ст. 64 Кодексу центральний орган виконавчої влади, що забезпечує формування та реалізує державну фінансову політику, визначає порядок обліку платників податків у контролюючих органах та порядок формування Реєстру великих платників податків на відповідний рік з урахуванням критеріїв, визначених цим Кодексом для великих платників податків. </w:t>
      </w:r>
    </w:p>
    <w:p w14:paraId="02D5F4B9" w14:textId="77777777" w:rsidR="00B66E67" w:rsidRPr="00330FDB" w:rsidRDefault="00B66E67" w:rsidP="00B66E67">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У разі включення платника податків до Реєстру </w:t>
      </w:r>
      <w:r w:rsidR="00CA6F0F" w:rsidRPr="00330FDB">
        <w:rPr>
          <w:rFonts w:ascii="Times New Roman" w:eastAsia="Times New Roman" w:hAnsi="Times New Roman" w:cs="Times New Roman"/>
          <w:sz w:val="27"/>
          <w:szCs w:val="27"/>
        </w:rPr>
        <w:t>ВПП</w:t>
      </w:r>
      <w:r w:rsidRPr="00330FDB">
        <w:rPr>
          <w:rFonts w:ascii="Times New Roman" w:eastAsia="Times New Roman" w:hAnsi="Times New Roman" w:cs="Times New Roman"/>
          <w:sz w:val="27"/>
          <w:szCs w:val="27"/>
        </w:rPr>
        <w:t xml:space="preserve"> на нього поширюються особливості, визначені цим Кодексом для великих платників податків.</w:t>
      </w:r>
    </w:p>
    <w:p w14:paraId="651A0DE9" w14:textId="77777777" w:rsidR="006A2CE1" w:rsidRPr="00330FDB" w:rsidRDefault="006A2CE1" w:rsidP="00B66E67">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Відповідно до п. 1 Порядку формування Реєстру </w:t>
      </w:r>
      <w:r w:rsidR="005A2141" w:rsidRPr="00330FDB">
        <w:rPr>
          <w:rFonts w:ascii="Times New Roman" w:eastAsia="Times New Roman" w:hAnsi="Times New Roman" w:cs="Times New Roman"/>
          <w:sz w:val="27"/>
          <w:szCs w:val="27"/>
        </w:rPr>
        <w:t xml:space="preserve">великих платників податків </w:t>
      </w:r>
      <w:r w:rsidRPr="00330FDB">
        <w:rPr>
          <w:rFonts w:ascii="Times New Roman" w:eastAsia="Times New Roman" w:hAnsi="Times New Roman" w:cs="Times New Roman"/>
          <w:sz w:val="27"/>
          <w:szCs w:val="27"/>
        </w:rPr>
        <w:t>від 21.10.2015 № 911</w:t>
      </w:r>
      <w:r w:rsidR="005A2141" w:rsidRPr="00330FDB">
        <w:rPr>
          <w:rFonts w:ascii="Times New Roman" w:eastAsia="Times New Roman" w:hAnsi="Times New Roman" w:cs="Times New Roman"/>
          <w:sz w:val="27"/>
          <w:szCs w:val="27"/>
        </w:rPr>
        <w:t xml:space="preserve">, затвердженого наказом Міністерства фінансів України </w:t>
      </w:r>
      <w:r w:rsidRPr="00330FDB">
        <w:rPr>
          <w:rFonts w:ascii="Times New Roman" w:eastAsia="Times New Roman" w:hAnsi="Times New Roman" w:cs="Times New Roman"/>
          <w:sz w:val="27"/>
          <w:szCs w:val="27"/>
        </w:rPr>
        <w:t xml:space="preserve"> </w:t>
      </w:r>
      <w:r w:rsidR="005A2141" w:rsidRPr="00330FDB">
        <w:rPr>
          <w:rFonts w:ascii="Times New Roman" w:eastAsia="Times New Roman" w:hAnsi="Times New Roman" w:cs="Times New Roman"/>
          <w:sz w:val="27"/>
          <w:szCs w:val="27"/>
        </w:rPr>
        <w:t xml:space="preserve">формування та затвердження Реєстру ВПП </w:t>
      </w:r>
      <w:r w:rsidRPr="00330FDB">
        <w:rPr>
          <w:rFonts w:ascii="Times New Roman" w:eastAsia="Times New Roman" w:hAnsi="Times New Roman" w:cs="Times New Roman"/>
          <w:sz w:val="27"/>
          <w:szCs w:val="27"/>
        </w:rPr>
        <w:t>здійснюються Державною податковою службою України щороку.</w:t>
      </w:r>
    </w:p>
    <w:p w14:paraId="33948009" w14:textId="77777777" w:rsidR="00B66E67" w:rsidRPr="00330FDB" w:rsidRDefault="00B66E67" w:rsidP="00B66E67">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Відповідно до </w:t>
      </w:r>
      <w:proofErr w:type="spellStart"/>
      <w:r w:rsidRPr="00330FDB">
        <w:rPr>
          <w:rFonts w:ascii="Times New Roman" w:eastAsia="Times New Roman" w:hAnsi="Times New Roman" w:cs="Times New Roman"/>
          <w:sz w:val="27"/>
          <w:szCs w:val="27"/>
        </w:rPr>
        <w:t>п.п</w:t>
      </w:r>
      <w:proofErr w:type="spellEnd"/>
      <w:r w:rsidRPr="00330FDB">
        <w:rPr>
          <w:rFonts w:ascii="Times New Roman" w:eastAsia="Times New Roman" w:hAnsi="Times New Roman" w:cs="Times New Roman"/>
          <w:sz w:val="27"/>
          <w:szCs w:val="27"/>
        </w:rPr>
        <w:t xml:space="preserve">. 134.1.1 п. 134.1 ст. 134 Кодексу об’єктом оподаткування податком на прибуток підприємств є прибуток із джерелом походження з України та за її межами, який визначається шляхом коригування (збільшення або зменшення) фінансового результату до оподаткування (прибутку або збитку), визначеного у фінансовій звітності підприємства відповідно до національних положень (стандартів) бухгалтерського обліку або міжнародних стандартів фінансової звітності, на різниці, які визначені відповідними положеннями цього Кодексу. </w:t>
      </w:r>
    </w:p>
    <w:p w14:paraId="6300A253" w14:textId="77777777" w:rsidR="0049779B" w:rsidRPr="00330FDB" w:rsidRDefault="0049779B" w:rsidP="0049779B">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Згідно з </w:t>
      </w:r>
      <w:proofErr w:type="spellStart"/>
      <w:r w:rsidRPr="00330FDB">
        <w:rPr>
          <w:rFonts w:ascii="Times New Roman" w:eastAsia="Times New Roman" w:hAnsi="Times New Roman" w:cs="Times New Roman"/>
          <w:sz w:val="27"/>
          <w:szCs w:val="27"/>
        </w:rPr>
        <w:t>п.п</w:t>
      </w:r>
      <w:proofErr w:type="spellEnd"/>
      <w:r w:rsidRPr="00330FDB">
        <w:rPr>
          <w:rFonts w:ascii="Times New Roman" w:eastAsia="Times New Roman" w:hAnsi="Times New Roman" w:cs="Times New Roman"/>
          <w:sz w:val="27"/>
          <w:szCs w:val="27"/>
        </w:rPr>
        <w:t>. 140.4.4 п. 140.4 ст. 140 Кодексу фінансовий результат до оподаткування зменшується, зокрема, на суму від'ємного значення об'єкта оподаткування платника (крім великих платників податків) минулих податкових (звітних) років.</w:t>
      </w:r>
    </w:p>
    <w:p w14:paraId="2A6027D0" w14:textId="77777777" w:rsidR="0049779B" w:rsidRPr="00330FDB" w:rsidRDefault="0049779B" w:rsidP="0049779B">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Великі платники податків зменшують фінансовий результат до оподаткування на частину суми від'ємного значення об'єкта оподаткування минулих податкових (звітних) років до повного його погашення у такому порядку.</w:t>
      </w:r>
    </w:p>
    <w:p w14:paraId="45E4325A" w14:textId="77777777" w:rsidR="0049779B" w:rsidRPr="00330FDB" w:rsidRDefault="0049779B" w:rsidP="0049779B">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Великі платники податків мають право зменшувати фінансовий результат до оподаткування податкового (звітного) періоду (прибуток, збиток або нульове значення) не більше ніж на 50 відсотків непогашеної суми від'ємного значення об'єкта оподаткування минулих податкових (звітних) років.</w:t>
      </w:r>
    </w:p>
    <w:p w14:paraId="5E6C6DBA" w14:textId="77777777" w:rsidR="0049779B" w:rsidRPr="00330FDB" w:rsidRDefault="0049779B" w:rsidP="0049779B">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Сума від'ємного значення об'єкта оподаткування минулих податкових (звітних) років, не погашена позитивним значенням об'єкта оподаткування податкового (звітного) року, зменшує фінансовий результат до оподаткування (прибуток, збиток або нульове значення) майбутніх податкових (звітних) періодів у розмірі не більше 50 відсотків такої непогашеної суми до її повного погашення.</w:t>
      </w:r>
    </w:p>
    <w:p w14:paraId="00BA59E8" w14:textId="77777777" w:rsidR="0049779B" w:rsidRPr="00330FDB" w:rsidRDefault="0049779B" w:rsidP="0049779B">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Якщо непогашена сума від'ємного значення об'єкта оподаткування минулих податкових (звітних) років становить не більше 10 відсотків позитивного значення об'єкта оподаткування податкового (звітного) періоду, обрахованого відповідно до </w:t>
      </w:r>
      <w:proofErr w:type="spellStart"/>
      <w:r w:rsidRPr="00330FDB">
        <w:rPr>
          <w:rFonts w:ascii="Times New Roman" w:eastAsia="Times New Roman" w:hAnsi="Times New Roman" w:cs="Times New Roman"/>
          <w:sz w:val="27"/>
          <w:szCs w:val="27"/>
        </w:rPr>
        <w:t>п.п</w:t>
      </w:r>
      <w:proofErr w:type="spellEnd"/>
      <w:r w:rsidRPr="00330FDB">
        <w:rPr>
          <w:rFonts w:ascii="Times New Roman" w:eastAsia="Times New Roman" w:hAnsi="Times New Roman" w:cs="Times New Roman"/>
          <w:sz w:val="27"/>
          <w:szCs w:val="27"/>
        </w:rPr>
        <w:t xml:space="preserve">. 134.1.1 п. 134.1 ст. 134 цього Кодексу без урахування непогашеного від'ємного значення об'єкта оподаткування минулих податкових (звітних) років, така сума </w:t>
      </w:r>
      <w:r w:rsidRPr="00330FDB">
        <w:rPr>
          <w:rFonts w:ascii="Times New Roman" w:eastAsia="Times New Roman" w:hAnsi="Times New Roman" w:cs="Times New Roman"/>
          <w:sz w:val="27"/>
          <w:szCs w:val="27"/>
        </w:rPr>
        <w:lastRenderedPageBreak/>
        <w:t>від'ємного значення зменшує фінансовий результат до оподаткування цього податкового (звітного) періоду в повному обсязі.</w:t>
      </w:r>
    </w:p>
    <w:p w14:paraId="0817CAE3" w14:textId="77777777" w:rsidR="0049779B" w:rsidRPr="00330FDB" w:rsidRDefault="0049779B" w:rsidP="0049779B">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Положення </w:t>
      </w:r>
      <w:proofErr w:type="spellStart"/>
      <w:r w:rsidRPr="00330FDB">
        <w:rPr>
          <w:rFonts w:ascii="Times New Roman" w:eastAsia="Times New Roman" w:hAnsi="Times New Roman" w:cs="Times New Roman"/>
          <w:sz w:val="27"/>
          <w:szCs w:val="27"/>
        </w:rPr>
        <w:t>п.п</w:t>
      </w:r>
      <w:proofErr w:type="spellEnd"/>
      <w:r w:rsidRPr="00330FDB">
        <w:rPr>
          <w:rFonts w:ascii="Times New Roman" w:eastAsia="Times New Roman" w:hAnsi="Times New Roman" w:cs="Times New Roman"/>
          <w:sz w:val="27"/>
          <w:szCs w:val="27"/>
        </w:rPr>
        <w:t>. 140.4.4 п. 140.4 ст. 140 Кодексу застосовуються з урахуванням пунктів 3 та 4</w:t>
      </w:r>
      <w:r w:rsidRPr="00330FDB">
        <w:rPr>
          <w:rFonts w:ascii="Times New Roman" w:eastAsia="Times New Roman" w:hAnsi="Times New Roman" w:cs="Times New Roman"/>
          <w:sz w:val="27"/>
          <w:szCs w:val="27"/>
          <w:vertAlign w:val="superscript"/>
        </w:rPr>
        <w:t>2</w:t>
      </w:r>
      <w:r w:rsidRPr="00330FDB">
        <w:rPr>
          <w:rFonts w:ascii="Times New Roman" w:eastAsia="Times New Roman" w:hAnsi="Times New Roman" w:cs="Times New Roman"/>
          <w:sz w:val="27"/>
          <w:szCs w:val="27"/>
        </w:rPr>
        <w:t xml:space="preserve"> підрозділу 4 розділу XX «Перехідні положення» цього Кодексу. </w:t>
      </w:r>
    </w:p>
    <w:p w14:paraId="13CF2363" w14:textId="77777777" w:rsidR="0049779B" w:rsidRPr="00330FDB" w:rsidRDefault="0049779B" w:rsidP="0049779B">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Для цілей цього підпункту погашеними вважаються суми від'ємного значення об'єкта оподаткування минулих податкових (звітних) років, для яких одночасно виконуються дві такі умови:</w:t>
      </w:r>
    </w:p>
    <w:p w14:paraId="0C8D3F6F" w14:textId="77777777" w:rsidR="0049779B" w:rsidRPr="00330FDB" w:rsidRDefault="0049779B" w:rsidP="0049779B">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а) ці суми були включені до розрахунку об'єкта оподаткування майбутніх податкових (звітних) періодів;</w:t>
      </w:r>
    </w:p>
    <w:p w14:paraId="21C73278" w14:textId="77777777" w:rsidR="0049779B" w:rsidRPr="00330FDB" w:rsidRDefault="0049779B" w:rsidP="0049779B">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б) за рахунок цих сум було зменшено позитивне значення об'єкта оподаткування (прибуток) відповідних податкових (звітних) років, обраховане відповідно до підпункту 134.1.1 пункту 134.1 статті 134 цього Кодексу без урахування непогашеного від'ємного значення об'єкта оподаткування минулих податкових (звітних) років.</w:t>
      </w:r>
    </w:p>
    <w:p w14:paraId="4F9CB5ED" w14:textId="7B5A23DC" w:rsidR="00845B92" w:rsidRPr="00330FDB" w:rsidRDefault="0049779B" w:rsidP="001F4741">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Форма Податкової декларації з податку на прибуток підприємств затверджена наказом Міністерства фінансів України від 20.10.2015 № 897</w:t>
      </w:r>
      <w:r w:rsidR="007218FD" w:rsidRPr="00330FDB">
        <w:rPr>
          <w:rFonts w:ascii="Times New Roman" w:hAnsi="Times New Roman" w:cs="Times New Roman"/>
          <w:sz w:val="27"/>
          <w:szCs w:val="27"/>
        </w:rPr>
        <w:t xml:space="preserve"> </w:t>
      </w:r>
      <w:r w:rsidR="007218FD" w:rsidRPr="00330FDB">
        <w:rPr>
          <w:rFonts w:ascii="Times New Roman" w:eastAsia="Times New Roman" w:hAnsi="Times New Roman" w:cs="Times New Roman"/>
          <w:sz w:val="27"/>
          <w:szCs w:val="27"/>
        </w:rPr>
        <w:t>(зі змінами)</w:t>
      </w:r>
      <w:r w:rsidR="00845B92" w:rsidRPr="00330FDB">
        <w:rPr>
          <w:rFonts w:ascii="Times New Roman" w:eastAsia="Times New Roman" w:hAnsi="Times New Roman" w:cs="Times New Roman"/>
          <w:sz w:val="27"/>
          <w:szCs w:val="27"/>
        </w:rPr>
        <w:t>.</w:t>
      </w:r>
    </w:p>
    <w:p w14:paraId="4A1FBD8C" w14:textId="77777777" w:rsidR="003166F1" w:rsidRPr="00330FDB" w:rsidRDefault="003166F1" w:rsidP="003166F1">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Сума від'ємного значення об'єкта оподаткування минулих податкових (звітних) років, на яку зменшується фінансовий результат до оподаткування, відображається у рядку 3.2.4 додатка РІ до рядка 03 РІ Декларації.</w:t>
      </w:r>
    </w:p>
    <w:p w14:paraId="3EB777B4" w14:textId="06F2B8DB" w:rsidR="003166F1" w:rsidRPr="00330FDB" w:rsidRDefault="00DF1AB5" w:rsidP="003166F1">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Отже, ч</w:t>
      </w:r>
      <w:r w:rsidR="003166F1" w:rsidRPr="00330FDB">
        <w:rPr>
          <w:rFonts w:ascii="Times New Roman" w:eastAsia="Times New Roman" w:hAnsi="Times New Roman" w:cs="Times New Roman"/>
          <w:sz w:val="27"/>
          <w:szCs w:val="27"/>
        </w:rPr>
        <w:t>астина суми податкових збитків (50 відсотків від суми від'ємного значення об'єкта оподаткування станом на 31.12.202</w:t>
      </w:r>
      <w:r w:rsidR="009131D1">
        <w:rPr>
          <w:rFonts w:ascii="Times New Roman" w:eastAsia="Times New Roman" w:hAnsi="Times New Roman" w:cs="Times New Roman"/>
          <w:sz w:val="27"/>
          <w:szCs w:val="27"/>
        </w:rPr>
        <w:t>3</w:t>
      </w:r>
      <w:r w:rsidR="003166F1" w:rsidRPr="00330FDB">
        <w:rPr>
          <w:rFonts w:ascii="Times New Roman" w:eastAsia="Times New Roman" w:hAnsi="Times New Roman" w:cs="Times New Roman"/>
          <w:sz w:val="27"/>
          <w:szCs w:val="27"/>
        </w:rPr>
        <w:t xml:space="preserve">), відображена великим платником податків у рядку 3.2.4 Додатку РІ до декларацій за звітні періоди </w:t>
      </w:r>
      <w:r w:rsidR="009131D1">
        <w:rPr>
          <w:rFonts w:ascii="Times New Roman" w:eastAsia="Times New Roman" w:hAnsi="Times New Roman" w:cs="Times New Roman"/>
          <w:sz w:val="27"/>
          <w:szCs w:val="27"/>
        </w:rPr>
        <w:br/>
      </w:r>
      <w:r w:rsidR="003166F1" w:rsidRPr="00330FDB">
        <w:rPr>
          <w:rFonts w:ascii="Times New Roman" w:eastAsia="Times New Roman" w:hAnsi="Times New Roman" w:cs="Times New Roman"/>
          <w:sz w:val="27"/>
          <w:szCs w:val="27"/>
        </w:rPr>
        <w:t>2024 року, що не погашена позитивним значенням об'єкта оподаткування (прибуток) цього звітного року, та інша частина суми податкових збитків (50 відсотків від суми від'ємного значення об'єкта оподаткування станом на 31.12.202</w:t>
      </w:r>
      <w:r w:rsidR="009759F1">
        <w:rPr>
          <w:rFonts w:ascii="Times New Roman" w:eastAsia="Times New Roman" w:hAnsi="Times New Roman" w:cs="Times New Roman"/>
          <w:sz w:val="27"/>
          <w:szCs w:val="27"/>
        </w:rPr>
        <w:t>3</w:t>
      </w:r>
      <w:r w:rsidR="003166F1" w:rsidRPr="00330FDB">
        <w:rPr>
          <w:rFonts w:ascii="Times New Roman" w:eastAsia="Times New Roman" w:hAnsi="Times New Roman" w:cs="Times New Roman"/>
          <w:sz w:val="27"/>
          <w:szCs w:val="27"/>
        </w:rPr>
        <w:t>), яка у деклараціях за звітні періоди 2024 року не враховувалась, а також сума поточних збитків 2024 року, вважатимуться непогашеним від’ємним значенням об’єкта оподаткування минулих податкових (звітних) років.</w:t>
      </w:r>
    </w:p>
    <w:p w14:paraId="1F78180C" w14:textId="4982B7C6" w:rsidR="003166F1" w:rsidRPr="00330FDB" w:rsidRDefault="003166F1" w:rsidP="003166F1">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В наступних податкових звітних періодах (у вашому випадку у 2025 році) сума від’ємного значення об’єкта оподаткування минулих податкових (звітних) років, не погашена позитивним значенням об'єкта оподаткування податкового (звітного) року, враховується великим платником податків (що не є банківською установою) у зменшення фінансового результату до оподаткування наступних податкових (звітних) періодів у порядку, встановленому </w:t>
      </w:r>
      <w:proofErr w:type="spellStart"/>
      <w:r w:rsidRPr="00330FDB">
        <w:rPr>
          <w:rFonts w:ascii="Times New Roman" w:eastAsia="Times New Roman" w:hAnsi="Times New Roman" w:cs="Times New Roman"/>
          <w:sz w:val="27"/>
          <w:szCs w:val="27"/>
        </w:rPr>
        <w:t>п.п</w:t>
      </w:r>
      <w:proofErr w:type="spellEnd"/>
      <w:r w:rsidRPr="00330FDB">
        <w:rPr>
          <w:rFonts w:ascii="Times New Roman" w:eastAsia="Times New Roman" w:hAnsi="Times New Roman" w:cs="Times New Roman"/>
          <w:sz w:val="27"/>
          <w:szCs w:val="27"/>
        </w:rPr>
        <w:t xml:space="preserve">. 140.4.4 п. 140.4 </w:t>
      </w:r>
      <w:r w:rsidR="00DF1AB5" w:rsidRPr="00330FDB">
        <w:rPr>
          <w:rFonts w:ascii="Times New Roman" w:eastAsia="Times New Roman" w:hAnsi="Times New Roman" w:cs="Times New Roman"/>
          <w:sz w:val="27"/>
          <w:szCs w:val="27"/>
        </w:rPr>
        <w:br/>
      </w:r>
      <w:r w:rsidRPr="00330FDB">
        <w:rPr>
          <w:rFonts w:ascii="Times New Roman" w:eastAsia="Times New Roman" w:hAnsi="Times New Roman" w:cs="Times New Roman"/>
          <w:sz w:val="27"/>
          <w:szCs w:val="27"/>
        </w:rPr>
        <w:t>ст. 140 цього Кодексу (тобто, у розмірі 50 відсотків суми непогашеного від’ємного значення об’єкта оподаткування минулих податкових (звітних) років), до повного погашення.</w:t>
      </w:r>
    </w:p>
    <w:p w14:paraId="5D3F4E2A" w14:textId="77777777" w:rsidR="003166F1" w:rsidRPr="00330FDB" w:rsidRDefault="003166F1" w:rsidP="003166F1">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 xml:space="preserve">Водночас, якщо непогашена сума від'ємного значення об'єкта оподаткування минулих податкових (звітних) років становить не більше 10 відсотків позитивного значення об'єкта оподаткування податкового (звітного) періоду, обрахованого відповідно до </w:t>
      </w:r>
      <w:proofErr w:type="spellStart"/>
      <w:r w:rsidRPr="00330FDB">
        <w:rPr>
          <w:rFonts w:ascii="Times New Roman" w:eastAsia="Times New Roman" w:hAnsi="Times New Roman" w:cs="Times New Roman"/>
          <w:sz w:val="27"/>
          <w:szCs w:val="27"/>
        </w:rPr>
        <w:t>п.п</w:t>
      </w:r>
      <w:proofErr w:type="spellEnd"/>
      <w:r w:rsidRPr="00330FDB">
        <w:rPr>
          <w:rFonts w:ascii="Times New Roman" w:eastAsia="Times New Roman" w:hAnsi="Times New Roman" w:cs="Times New Roman"/>
          <w:sz w:val="27"/>
          <w:szCs w:val="27"/>
        </w:rPr>
        <w:t>. 134.1.1 п. 134.1 ст. 134 Кодексу без урахування непогашеного від'ємного значення об'єкта оподаткування минулих податкових (звітних) років, така сума від'ємного значення зменшує фінансовий результат до оподаткування цього податкового (звітного) періоду в повному обсязі.</w:t>
      </w:r>
    </w:p>
    <w:p w14:paraId="703FDF34" w14:textId="73195112" w:rsidR="003166F1" w:rsidRPr="00330FDB" w:rsidRDefault="003166F1" w:rsidP="003166F1">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lastRenderedPageBreak/>
        <w:t xml:space="preserve">У разі якщо у будь-якому звітному році платника податку на прибуток не включено до Реєстру, то він у звітних періодах такого року не застосовує обмеження, передбачені </w:t>
      </w:r>
      <w:proofErr w:type="spellStart"/>
      <w:r w:rsidRPr="00330FDB">
        <w:rPr>
          <w:rFonts w:ascii="Times New Roman" w:eastAsia="Times New Roman" w:hAnsi="Times New Roman" w:cs="Times New Roman"/>
          <w:sz w:val="27"/>
          <w:szCs w:val="27"/>
        </w:rPr>
        <w:t>п.п</w:t>
      </w:r>
      <w:proofErr w:type="spellEnd"/>
      <w:r w:rsidRPr="00330FDB">
        <w:rPr>
          <w:rFonts w:ascii="Times New Roman" w:eastAsia="Times New Roman" w:hAnsi="Times New Roman" w:cs="Times New Roman"/>
          <w:sz w:val="27"/>
          <w:szCs w:val="27"/>
        </w:rPr>
        <w:t>. 140.4.4 п. 140.4 ст. 140 цього Кодексу</w:t>
      </w:r>
      <w:r w:rsidR="00F6792F" w:rsidRPr="00330FDB">
        <w:rPr>
          <w:rFonts w:ascii="Times New Roman" w:eastAsia="Times New Roman" w:hAnsi="Times New Roman" w:cs="Times New Roman"/>
          <w:sz w:val="27"/>
          <w:szCs w:val="27"/>
        </w:rPr>
        <w:t>.</w:t>
      </w:r>
    </w:p>
    <w:p w14:paraId="63E16243" w14:textId="171FF21C" w:rsidR="004B65B9" w:rsidRPr="00330FDB" w:rsidRDefault="00DF1AB5" w:rsidP="003166F1">
      <w:pPr>
        <w:spacing w:after="0" w:line="240" w:lineRule="auto"/>
        <w:ind w:firstLine="567"/>
        <w:jc w:val="both"/>
        <w:rPr>
          <w:rFonts w:ascii="Times New Roman" w:eastAsia="Times New Roman" w:hAnsi="Times New Roman" w:cs="Times New Roman"/>
          <w:sz w:val="27"/>
          <w:szCs w:val="27"/>
        </w:rPr>
      </w:pPr>
      <w:r w:rsidRPr="00330FDB">
        <w:rPr>
          <w:rFonts w:ascii="Times New Roman" w:eastAsia="Times New Roman" w:hAnsi="Times New Roman" w:cs="Times New Roman"/>
          <w:sz w:val="27"/>
          <w:szCs w:val="27"/>
        </w:rPr>
        <w:t>Ін</w:t>
      </w:r>
      <w:r w:rsidR="00084800" w:rsidRPr="00330FDB">
        <w:rPr>
          <w:rFonts w:ascii="Times New Roman" w:eastAsia="Times New Roman" w:hAnsi="Times New Roman" w:cs="Times New Roman"/>
          <w:sz w:val="27"/>
          <w:szCs w:val="27"/>
        </w:rPr>
        <w:t>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 52.2 ст. 52 Кодексу).</w:t>
      </w:r>
    </w:p>
    <w:p w14:paraId="58837FE7" w14:textId="77777777" w:rsidR="004B65B9" w:rsidRPr="00A60467" w:rsidRDefault="004B65B9" w:rsidP="006A2CE1">
      <w:pPr>
        <w:spacing w:after="0" w:line="240" w:lineRule="auto"/>
        <w:ind w:firstLine="567"/>
        <w:jc w:val="both"/>
        <w:rPr>
          <w:rFonts w:ascii="Times New Roman" w:eastAsia="Times New Roman" w:hAnsi="Times New Roman" w:cs="Times New Roman"/>
          <w:sz w:val="27"/>
          <w:szCs w:val="27"/>
        </w:rPr>
      </w:pPr>
    </w:p>
    <w:sectPr w:rsidR="004B65B9" w:rsidRPr="00A60467" w:rsidSect="00DE78E8">
      <w:headerReference w:type="default" r:id="rId8"/>
      <w:pgSz w:w="11906" w:h="16838"/>
      <w:pgMar w:top="1134" w:right="567"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5B20C" w14:textId="77777777" w:rsidR="00A12DDA" w:rsidRDefault="00A12DDA" w:rsidP="00DE78E8">
      <w:pPr>
        <w:spacing w:after="0" w:line="240" w:lineRule="auto"/>
      </w:pPr>
      <w:r>
        <w:separator/>
      </w:r>
    </w:p>
  </w:endnote>
  <w:endnote w:type="continuationSeparator" w:id="0">
    <w:p w14:paraId="3303CE9F" w14:textId="77777777" w:rsidR="00A12DDA" w:rsidRDefault="00A12DDA" w:rsidP="00DE7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FBD69" w14:textId="77777777" w:rsidR="00A12DDA" w:rsidRDefault="00A12DDA" w:rsidP="00DE78E8">
      <w:pPr>
        <w:spacing w:after="0" w:line="240" w:lineRule="auto"/>
      </w:pPr>
      <w:r>
        <w:separator/>
      </w:r>
    </w:p>
  </w:footnote>
  <w:footnote w:type="continuationSeparator" w:id="0">
    <w:p w14:paraId="3474C848" w14:textId="77777777" w:rsidR="00A12DDA" w:rsidRDefault="00A12DDA" w:rsidP="00DE7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6226521"/>
      <w:docPartObj>
        <w:docPartGallery w:val="Page Numbers (Top of Page)"/>
        <w:docPartUnique/>
      </w:docPartObj>
    </w:sdtPr>
    <w:sdtEndPr/>
    <w:sdtContent>
      <w:p w14:paraId="67C031F1" w14:textId="1C167F44" w:rsidR="00DE78E8" w:rsidRDefault="00DE78E8">
        <w:pPr>
          <w:pStyle w:val="a3"/>
          <w:jc w:val="center"/>
        </w:pPr>
        <w:r>
          <w:fldChar w:fldCharType="begin"/>
        </w:r>
        <w:r>
          <w:instrText>PAGE   \* MERGEFORMAT</w:instrText>
        </w:r>
        <w:r>
          <w:fldChar w:fldCharType="separate"/>
        </w:r>
        <w:r w:rsidR="003C5CE7" w:rsidRPr="003C5CE7">
          <w:rPr>
            <w:noProof/>
            <w:lang w:val="ru-RU"/>
          </w:rPr>
          <w:t>4</w:t>
        </w:r>
        <w:r>
          <w:fldChar w:fldCharType="end"/>
        </w:r>
      </w:p>
    </w:sdtContent>
  </w:sdt>
  <w:p w14:paraId="5348D386" w14:textId="77777777" w:rsidR="00DE78E8" w:rsidRDefault="00DE78E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FA70D8"/>
    <w:multiLevelType w:val="hybridMultilevel"/>
    <w:tmpl w:val="8B106D32"/>
    <w:lvl w:ilvl="0" w:tplc="F6BE7FE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0B"/>
    <w:rsid w:val="00001088"/>
    <w:rsid w:val="000032F4"/>
    <w:rsid w:val="00012FC5"/>
    <w:rsid w:val="00043D32"/>
    <w:rsid w:val="00045D93"/>
    <w:rsid w:val="00052899"/>
    <w:rsid w:val="00061307"/>
    <w:rsid w:val="00063A65"/>
    <w:rsid w:val="00067738"/>
    <w:rsid w:val="00084800"/>
    <w:rsid w:val="00084E5B"/>
    <w:rsid w:val="00092F9D"/>
    <w:rsid w:val="00093775"/>
    <w:rsid w:val="000A3E6D"/>
    <w:rsid w:val="000B1FA8"/>
    <w:rsid w:val="000C2BE7"/>
    <w:rsid w:val="000E6ECA"/>
    <w:rsid w:val="00101B10"/>
    <w:rsid w:val="00111B99"/>
    <w:rsid w:val="001212EE"/>
    <w:rsid w:val="00124106"/>
    <w:rsid w:val="0012473B"/>
    <w:rsid w:val="00135A00"/>
    <w:rsid w:val="00137361"/>
    <w:rsid w:val="001530ED"/>
    <w:rsid w:val="00154159"/>
    <w:rsid w:val="00161DE5"/>
    <w:rsid w:val="00165128"/>
    <w:rsid w:val="001718B9"/>
    <w:rsid w:val="00174B0D"/>
    <w:rsid w:val="00187E15"/>
    <w:rsid w:val="00192F2E"/>
    <w:rsid w:val="001A4CAE"/>
    <w:rsid w:val="001B76B7"/>
    <w:rsid w:val="001C3ED1"/>
    <w:rsid w:val="001D53BE"/>
    <w:rsid w:val="001F4741"/>
    <w:rsid w:val="00200461"/>
    <w:rsid w:val="00221C7D"/>
    <w:rsid w:val="00223A28"/>
    <w:rsid w:val="0022450F"/>
    <w:rsid w:val="00227A1C"/>
    <w:rsid w:val="00237A2F"/>
    <w:rsid w:val="00244F64"/>
    <w:rsid w:val="002522B0"/>
    <w:rsid w:val="00262667"/>
    <w:rsid w:val="00264B64"/>
    <w:rsid w:val="002735C9"/>
    <w:rsid w:val="00274D03"/>
    <w:rsid w:val="002759C0"/>
    <w:rsid w:val="002C02E7"/>
    <w:rsid w:val="002C3E66"/>
    <w:rsid w:val="002D1020"/>
    <w:rsid w:val="002F23C9"/>
    <w:rsid w:val="002F5091"/>
    <w:rsid w:val="002F565D"/>
    <w:rsid w:val="002F581E"/>
    <w:rsid w:val="00310996"/>
    <w:rsid w:val="00315081"/>
    <w:rsid w:val="00315602"/>
    <w:rsid w:val="003166F1"/>
    <w:rsid w:val="003260F9"/>
    <w:rsid w:val="003267D3"/>
    <w:rsid w:val="00330FDB"/>
    <w:rsid w:val="0033201A"/>
    <w:rsid w:val="003362BD"/>
    <w:rsid w:val="00341F70"/>
    <w:rsid w:val="003473BD"/>
    <w:rsid w:val="0035073B"/>
    <w:rsid w:val="0035166C"/>
    <w:rsid w:val="003850CE"/>
    <w:rsid w:val="00386669"/>
    <w:rsid w:val="003A25F9"/>
    <w:rsid w:val="003C2305"/>
    <w:rsid w:val="003C31EA"/>
    <w:rsid w:val="003C5CE7"/>
    <w:rsid w:val="003D145F"/>
    <w:rsid w:val="003F267C"/>
    <w:rsid w:val="003F3924"/>
    <w:rsid w:val="00402F55"/>
    <w:rsid w:val="004076C3"/>
    <w:rsid w:val="004407E0"/>
    <w:rsid w:val="00445440"/>
    <w:rsid w:val="0045261E"/>
    <w:rsid w:val="004565AB"/>
    <w:rsid w:val="00464098"/>
    <w:rsid w:val="00465CCE"/>
    <w:rsid w:val="004716A8"/>
    <w:rsid w:val="00474823"/>
    <w:rsid w:val="004804DB"/>
    <w:rsid w:val="004828D6"/>
    <w:rsid w:val="0049779B"/>
    <w:rsid w:val="004A0F0F"/>
    <w:rsid w:val="004A149F"/>
    <w:rsid w:val="004A7F42"/>
    <w:rsid w:val="004B4C36"/>
    <w:rsid w:val="004B65B9"/>
    <w:rsid w:val="004C1EA2"/>
    <w:rsid w:val="004E288C"/>
    <w:rsid w:val="004E49F7"/>
    <w:rsid w:val="004F2B93"/>
    <w:rsid w:val="005025D9"/>
    <w:rsid w:val="00503ACD"/>
    <w:rsid w:val="00505D63"/>
    <w:rsid w:val="00533148"/>
    <w:rsid w:val="0053610A"/>
    <w:rsid w:val="00545478"/>
    <w:rsid w:val="00554212"/>
    <w:rsid w:val="005555DD"/>
    <w:rsid w:val="00556CFA"/>
    <w:rsid w:val="0056441A"/>
    <w:rsid w:val="005732A1"/>
    <w:rsid w:val="0058498C"/>
    <w:rsid w:val="00594EF3"/>
    <w:rsid w:val="005A2141"/>
    <w:rsid w:val="005A727E"/>
    <w:rsid w:val="005B6160"/>
    <w:rsid w:val="005C4B0B"/>
    <w:rsid w:val="005C736E"/>
    <w:rsid w:val="005C7E14"/>
    <w:rsid w:val="005D2109"/>
    <w:rsid w:val="005E7B98"/>
    <w:rsid w:val="005F4148"/>
    <w:rsid w:val="00601B36"/>
    <w:rsid w:val="006023BD"/>
    <w:rsid w:val="00614470"/>
    <w:rsid w:val="00616033"/>
    <w:rsid w:val="006334BA"/>
    <w:rsid w:val="0063606E"/>
    <w:rsid w:val="006524CD"/>
    <w:rsid w:val="006551D2"/>
    <w:rsid w:val="00665265"/>
    <w:rsid w:val="00696DDE"/>
    <w:rsid w:val="006978C0"/>
    <w:rsid w:val="006A2CE1"/>
    <w:rsid w:val="006B0BA3"/>
    <w:rsid w:val="006B6E41"/>
    <w:rsid w:val="006D6637"/>
    <w:rsid w:val="006D7C3A"/>
    <w:rsid w:val="006F0462"/>
    <w:rsid w:val="00702643"/>
    <w:rsid w:val="00703476"/>
    <w:rsid w:val="00717C71"/>
    <w:rsid w:val="007218FD"/>
    <w:rsid w:val="00727A0D"/>
    <w:rsid w:val="00773243"/>
    <w:rsid w:val="00774A78"/>
    <w:rsid w:val="007754FB"/>
    <w:rsid w:val="00777FAE"/>
    <w:rsid w:val="00792C60"/>
    <w:rsid w:val="00794F1F"/>
    <w:rsid w:val="007A157C"/>
    <w:rsid w:val="007B609D"/>
    <w:rsid w:val="007D39B1"/>
    <w:rsid w:val="007D678F"/>
    <w:rsid w:val="007D741E"/>
    <w:rsid w:val="007E20D0"/>
    <w:rsid w:val="007E2550"/>
    <w:rsid w:val="007E51E5"/>
    <w:rsid w:val="00810E2B"/>
    <w:rsid w:val="008162D0"/>
    <w:rsid w:val="008208BB"/>
    <w:rsid w:val="00826B12"/>
    <w:rsid w:val="00835D25"/>
    <w:rsid w:val="00837EE7"/>
    <w:rsid w:val="00845B92"/>
    <w:rsid w:val="008513AA"/>
    <w:rsid w:val="008543F0"/>
    <w:rsid w:val="008554E0"/>
    <w:rsid w:val="00893CCA"/>
    <w:rsid w:val="008B4E45"/>
    <w:rsid w:val="008C20AD"/>
    <w:rsid w:val="008C38DE"/>
    <w:rsid w:val="008E1921"/>
    <w:rsid w:val="008E40A2"/>
    <w:rsid w:val="008E7242"/>
    <w:rsid w:val="00907D19"/>
    <w:rsid w:val="009131D1"/>
    <w:rsid w:val="0091366B"/>
    <w:rsid w:val="00927ACC"/>
    <w:rsid w:val="00934B53"/>
    <w:rsid w:val="00937A63"/>
    <w:rsid w:val="009629BB"/>
    <w:rsid w:val="00962AF8"/>
    <w:rsid w:val="00966F9D"/>
    <w:rsid w:val="00973FF7"/>
    <w:rsid w:val="009759F1"/>
    <w:rsid w:val="00980F96"/>
    <w:rsid w:val="00990D53"/>
    <w:rsid w:val="00997C9F"/>
    <w:rsid w:val="009A2B16"/>
    <w:rsid w:val="009B3E23"/>
    <w:rsid w:val="009B5855"/>
    <w:rsid w:val="009C59D2"/>
    <w:rsid w:val="009D6F84"/>
    <w:rsid w:val="009F1333"/>
    <w:rsid w:val="009F21AC"/>
    <w:rsid w:val="009F6166"/>
    <w:rsid w:val="00A02BDC"/>
    <w:rsid w:val="00A04C3B"/>
    <w:rsid w:val="00A12DDA"/>
    <w:rsid w:val="00A24AC2"/>
    <w:rsid w:val="00A3597C"/>
    <w:rsid w:val="00A60467"/>
    <w:rsid w:val="00A949FC"/>
    <w:rsid w:val="00A95B2A"/>
    <w:rsid w:val="00AA5BD9"/>
    <w:rsid w:val="00AC6D82"/>
    <w:rsid w:val="00AD6424"/>
    <w:rsid w:val="00AE5754"/>
    <w:rsid w:val="00AF3CF8"/>
    <w:rsid w:val="00AF671A"/>
    <w:rsid w:val="00B07CEF"/>
    <w:rsid w:val="00B10D03"/>
    <w:rsid w:val="00B140E9"/>
    <w:rsid w:val="00B266CC"/>
    <w:rsid w:val="00B331F8"/>
    <w:rsid w:val="00B64975"/>
    <w:rsid w:val="00B65946"/>
    <w:rsid w:val="00B66E67"/>
    <w:rsid w:val="00B729CE"/>
    <w:rsid w:val="00B7477E"/>
    <w:rsid w:val="00B775D1"/>
    <w:rsid w:val="00B85F4B"/>
    <w:rsid w:val="00B966B7"/>
    <w:rsid w:val="00BA3FA0"/>
    <w:rsid w:val="00BB0704"/>
    <w:rsid w:val="00BB1724"/>
    <w:rsid w:val="00BE2726"/>
    <w:rsid w:val="00BE600C"/>
    <w:rsid w:val="00BE6F4D"/>
    <w:rsid w:val="00BE7407"/>
    <w:rsid w:val="00C01A73"/>
    <w:rsid w:val="00C02770"/>
    <w:rsid w:val="00C127FE"/>
    <w:rsid w:val="00C45550"/>
    <w:rsid w:val="00C4658C"/>
    <w:rsid w:val="00C4663C"/>
    <w:rsid w:val="00C501E3"/>
    <w:rsid w:val="00C5375B"/>
    <w:rsid w:val="00C66D9D"/>
    <w:rsid w:val="00C701BE"/>
    <w:rsid w:val="00C70DC1"/>
    <w:rsid w:val="00C7255F"/>
    <w:rsid w:val="00C72EE5"/>
    <w:rsid w:val="00C73C31"/>
    <w:rsid w:val="00C75E1C"/>
    <w:rsid w:val="00C8746C"/>
    <w:rsid w:val="00CA6F0F"/>
    <w:rsid w:val="00CD3444"/>
    <w:rsid w:val="00CD4805"/>
    <w:rsid w:val="00CF6EB7"/>
    <w:rsid w:val="00D01CB3"/>
    <w:rsid w:val="00D07BE0"/>
    <w:rsid w:val="00D13337"/>
    <w:rsid w:val="00D13E65"/>
    <w:rsid w:val="00D260F1"/>
    <w:rsid w:val="00D26D9B"/>
    <w:rsid w:val="00D319F1"/>
    <w:rsid w:val="00D40CE4"/>
    <w:rsid w:val="00D666C4"/>
    <w:rsid w:val="00D8769D"/>
    <w:rsid w:val="00DA08F2"/>
    <w:rsid w:val="00DA6202"/>
    <w:rsid w:val="00DB0673"/>
    <w:rsid w:val="00DB3CDB"/>
    <w:rsid w:val="00DD30AC"/>
    <w:rsid w:val="00DE1A8B"/>
    <w:rsid w:val="00DE27CD"/>
    <w:rsid w:val="00DE6EBD"/>
    <w:rsid w:val="00DE78E8"/>
    <w:rsid w:val="00DF1AB5"/>
    <w:rsid w:val="00E03A45"/>
    <w:rsid w:val="00E25E50"/>
    <w:rsid w:val="00E37551"/>
    <w:rsid w:val="00E4186D"/>
    <w:rsid w:val="00E41977"/>
    <w:rsid w:val="00E42546"/>
    <w:rsid w:val="00E54D5E"/>
    <w:rsid w:val="00E5606E"/>
    <w:rsid w:val="00E65908"/>
    <w:rsid w:val="00E7627B"/>
    <w:rsid w:val="00E767B6"/>
    <w:rsid w:val="00E91B7A"/>
    <w:rsid w:val="00EA35E4"/>
    <w:rsid w:val="00EC0BE6"/>
    <w:rsid w:val="00EC1E89"/>
    <w:rsid w:val="00EE57EF"/>
    <w:rsid w:val="00EE7701"/>
    <w:rsid w:val="00EF2211"/>
    <w:rsid w:val="00F0194C"/>
    <w:rsid w:val="00F04CE1"/>
    <w:rsid w:val="00F07C2B"/>
    <w:rsid w:val="00F11FE7"/>
    <w:rsid w:val="00F13B25"/>
    <w:rsid w:val="00F244F7"/>
    <w:rsid w:val="00F324CA"/>
    <w:rsid w:val="00F43DFC"/>
    <w:rsid w:val="00F502FE"/>
    <w:rsid w:val="00F53C95"/>
    <w:rsid w:val="00F5410F"/>
    <w:rsid w:val="00F6792F"/>
    <w:rsid w:val="00F67CC3"/>
    <w:rsid w:val="00F8087E"/>
    <w:rsid w:val="00F83EE5"/>
    <w:rsid w:val="00F91251"/>
    <w:rsid w:val="00F92926"/>
    <w:rsid w:val="00F94CF9"/>
    <w:rsid w:val="00F9725F"/>
    <w:rsid w:val="00FA22BF"/>
    <w:rsid w:val="00FA4706"/>
    <w:rsid w:val="00FB04C5"/>
    <w:rsid w:val="00FD2716"/>
    <w:rsid w:val="00FD33D4"/>
    <w:rsid w:val="00FE5A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AD107"/>
  <w15:docId w15:val="{609F8C0A-33BC-46EC-BCB0-ACF16F826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8E8"/>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DE78E8"/>
  </w:style>
  <w:style w:type="paragraph" w:styleId="a5">
    <w:name w:val="footer"/>
    <w:basedOn w:val="a"/>
    <w:link w:val="a6"/>
    <w:uiPriority w:val="99"/>
    <w:unhideWhenUsed/>
    <w:rsid w:val="00DE78E8"/>
    <w:pPr>
      <w:tabs>
        <w:tab w:val="center" w:pos="4819"/>
        <w:tab w:val="right" w:pos="9639"/>
      </w:tabs>
      <w:spacing w:after="0" w:line="240" w:lineRule="auto"/>
    </w:pPr>
  </w:style>
  <w:style w:type="character" w:customStyle="1" w:styleId="a6">
    <w:name w:val="Нижний колонтитул Знак"/>
    <w:basedOn w:val="a0"/>
    <w:link w:val="a5"/>
    <w:uiPriority w:val="99"/>
    <w:rsid w:val="00DE78E8"/>
  </w:style>
  <w:style w:type="paragraph" w:styleId="a7">
    <w:name w:val="List Paragraph"/>
    <w:basedOn w:val="a"/>
    <w:uiPriority w:val="34"/>
    <w:qFormat/>
    <w:rsid w:val="00CD4805"/>
    <w:pPr>
      <w:ind w:left="720"/>
      <w:contextualSpacing/>
    </w:pPr>
  </w:style>
  <w:style w:type="character" w:styleId="a8">
    <w:name w:val="Hyperlink"/>
    <w:basedOn w:val="a0"/>
    <w:uiPriority w:val="99"/>
    <w:unhideWhenUsed/>
    <w:rsid w:val="00C701BE"/>
    <w:rPr>
      <w:color w:val="0000FF" w:themeColor="hyperlink"/>
      <w:u w:val="single"/>
    </w:rPr>
  </w:style>
  <w:style w:type="character" w:customStyle="1" w:styleId="UnresolvedMention">
    <w:name w:val="Unresolved Mention"/>
    <w:basedOn w:val="a0"/>
    <w:uiPriority w:val="99"/>
    <w:semiHidden/>
    <w:unhideWhenUsed/>
    <w:rsid w:val="00C701BE"/>
    <w:rPr>
      <w:color w:val="605E5C"/>
      <w:shd w:val="clear" w:color="auto" w:fill="E1DFDD"/>
    </w:rPr>
  </w:style>
  <w:style w:type="paragraph" w:styleId="a9">
    <w:name w:val="Balloon Text"/>
    <w:basedOn w:val="a"/>
    <w:link w:val="aa"/>
    <w:uiPriority w:val="99"/>
    <w:semiHidden/>
    <w:unhideWhenUsed/>
    <w:rsid w:val="0020046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004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5FC56-939B-4DD1-8BA7-F338411DB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1212</Words>
  <Characters>7787</Characters>
  <Application>Microsoft Office Word</Application>
  <DocSecurity>0</DocSecurity>
  <Lines>152</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КОЛЕСНИК ГАЛИНА ПЕТРІВНА</dc:creator>
  <cp:lastModifiedBy>Admin</cp:lastModifiedBy>
  <cp:revision>3</cp:revision>
  <cp:lastPrinted>2026-08-20T13:15:00Z</cp:lastPrinted>
  <dcterms:created xsi:type="dcterms:W3CDTF">2026-09-08T09:57:00Z</dcterms:created>
  <dcterms:modified xsi:type="dcterms:W3CDTF">2026-09-08T12:25:00Z</dcterms:modified>
</cp:coreProperties>
</file>