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0913A" w14:textId="77777777" w:rsidR="00CB079A" w:rsidRPr="00CB079A" w:rsidRDefault="00CB079A" w:rsidP="00CB079A">
      <w:pPr>
        <w:jc w:val="center"/>
        <w:outlineLvl w:val="1"/>
        <w:rPr>
          <w:rFonts w:ascii="Times New Roman" w:eastAsia="Times New Roman" w:hAnsi="Times New Roman" w:cs="Times New Roman"/>
          <w:b/>
          <w:bCs/>
          <w:color w:val="000000" w:themeColor="text1"/>
          <w:kern w:val="0"/>
          <w:sz w:val="20"/>
          <w:szCs w:val="20"/>
          <w:lang w:eastAsia="ru-RU"/>
          <w14:ligatures w14:val="none"/>
        </w:rPr>
      </w:pPr>
      <w:r w:rsidRPr="00CB079A">
        <w:rPr>
          <w:rFonts w:ascii="Times New Roman" w:eastAsia="Times New Roman" w:hAnsi="Times New Roman" w:cs="Times New Roman"/>
          <w:b/>
          <w:bCs/>
          <w:color w:val="000000" w:themeColor="text1"/>
          <w:kern w:val="0"/>
          <w:sz w:val="20"/>
          <w:szCs w:val="20"/>
          <w:lang w:eastAsia="ru-RU"/>
          <w14:ligatures w14:val="none"/>
        </w:rPr>
        <w:t>МІНІСТЕРСТВО ФІНАНСІВ УКРАЇНИ</w:t>
      </w:r>
    </w:p>
    <w:p w14:paraId="5EC01CA2" w14:textId="77777777" w:rsidR="00CB079A" w:rsidRPr="00CB079A" w:rsidRDefault="00CB079A" w:rsidP="00CB079A">
      <w:pPr>
        <w:jc w:val="center"/>
        <w:outlineLvl w:val="1"/>
        <w:rPr>
          <w:rFonts w:ascii="Times New Roman" w:eastAsia="Times New Roman" w:hAnsi="Times New Roman" w:cs="Times New Roman"/>
          <w:b/>
          <w:bCs/>
          <w:color w:val="000000" w:themeColor="text1"/>
          <w:kern w:val="0"/>
          <w:sz w:val="20"/>
          <w:szCs w:val="20"/>
          <w:lang w:eastAsia="ru-RU"/>
          <w14:ligatures w14:val="none"/>
        </w:rPr>
      </w:pPr>
      <w:r w:rsidRPr="00CB079A">
        <w:rPr>
          <w:rFonts w:ascii="Times New Roman" w:eastAsia="Times New Roman" w:hAnsi="Times New Roman" w:cs="Times New Roman"/>
          <w:b/>
          <w:bCs/>
          <w:color w:val="000000" w:themeColor="text1"/>
          <w:kern w:val="0"/>
          <w:sz w:val="20"/>
          <w:szCs w:val="20"/>
          <w:lang w:eastAsia="ru-RU"/>
          <w14:ligatures w14:val="none"/>
        </w:rPr>
        <w:t>НАКАЗ</w:t>
      </w:r>
    </w:p>
    <w:tbl>
      <w:tblPr>
        <w:tblW w:w="5000" w:type="pct"/>
        <w:tblCellMar>
          <w:top w:w="15" w:type="dxa"/>
          <w:left w:w="15" w:type="dxa"/>
          <w:bottom w:w="15" w:type="dxa"/>
          <w:right w:w="15" w:type="dxa"/>
        </w:tblCellMar>
        <w:tblLook w:val="04A0" w:firstRow="1" w:lastRow="0" w:firstColumn="1" w:lastColumn="0" w:noHBand="0" w:noVBand="1"/>
      </w:tblPr>
      <w:tblGrid>
        <w:gridCol w:w="3159"/>
        <w:gridCol w:w="2708"/>
        <w:gridCol w:w="3159"/>
      </w:tblGrid>
      <w:tr w:rsidR="00CB079A" w:rsidRPr="00CB079A" w14:paraId="2EAE789C" w14:textId="77777777">
        <w:tc>
          <w:tcPr>
            <w:tcW w:w="1750" w:type="pct"/>
            <w:vAlign w:val="center"/>
            <w:hideMark/>
          </w:tcPr>
          <w:p w14:paraId="0B176665"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b/>
                <w:bCs/>
                <w:color w:val="000000" w:themeColor="text1"/>
                <w:kern w:val="0"/>
                <w:sz w:val="20"/>
                <w:szCs w:val="20"/>
                <w:lang w:eastAsia="ru-RU"/>
                <w14:ligatures w14:val="none"/>
              </w:rPr>
              <w:t>12.10.2026</w:t>
            </w:r>
          </w:p>
        </w:tc>
        <w:tc>
          <w:tcPr>
            <w:tcW w:w="1500" w:type="pct"/>
            <w:vAlign w:val="center"/>
            <w:hideMark/>
          </w:tcPr>
          <w:p w14:paraId="1BBFE79E"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b/>
                <w:bCs/>
                <w:color w:val="000000" w:themeColor="text1"/>
                <w:kern w:val="0"/>
                <w:sz w:val="20"/>
                <w:szCs w:val="20"/>
                <w:lang w:eastAsia="ru-RU"/>
                <w14:ligatures w14:val="none"/>
              </w:rPr>
              <w:t>м. Київ</w:t>
            </w:r>
          </w:p>
        </w:tc>
        <w:tc>
          <w:tcPr>
            <w:tcW w:w="1750" w:type="pct"/>
            <w:vAlign w:val="center"/>
            <w:hideMark/>
          </w:tcPr>
          <w:p w14:paraId="2C255158"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b/>
                <w:bCs/>
                <w:color w:val="000000" w:themeColor="text1"/>
                <w:kern w:val="0"/>
                <w:sz w:val="20"/>
                <w:szCs w:val="20"/>
                <w:lang w:eastAsia="ru-RU"/>
                <w14:ligatures w14:val="none"/>
              </w:rPr>
              <w:t>N 544</w:t>
            </w:r>
          </w:p>
        </w:tc>
      </w:tr>
    </w:tbl>
    <w:p w14:paraId="7655B1C4" w14:textId="1E61C5CA" w:rsidR="00CB079A" w:rsidRPr="00C61E08" w:rsidRDefault="00CB079A" w:rsidP="00CB079A">
      <w:pPr>
        <w:jc w:val="center"/>
        <w:rPr>
          <w:rFonts w:ascii="Times New Roman" w:eastAsia="Times New Roman" w:hAnsi="Times New Roman" w:cs="Times New Roman"/>
          <w:color w:val="000000" w:themeColor="text1"/>
          <w:kern w:val="0"/>
          <w:sz w:val="20"/>
          <w:szCs w:val="20"/>
          <w:lang w:val="ru-RU" w:eastAsia="ru-RU"/>
          <w14:ligatures w14:val="none"/>
        </w:rPr>
      </w:pPr>
      <w:r w:rsidRPr="00CB079A">
        <w:rPr>
          <w:rFonts w:ascii="Times New Roman" w:eastAsia="Times New Roman" w:hAnsi="Times New Roman" w:cs="Times New Roman"/>
          <w:b/>
          <w:bCs/>
          <w:color w:val="000000" w:themeColor="text1"/>
          <w:kern w:val="0"/>
          <w:sz w:val="20"/>
          <w:szCs w:val="20"/>
          <w:lang w:eastAsia="ru-RU"/>
          <w14:ligatures w14:val="none"/>
        </w:rPr>
        <w:t>Зареєстровано в Міністерстві юстиції України</w:t>
      </w:r>
      <w:r w:rsidRPr="00CB079A">
        <w:rPr>
          <w:rFonts w:ascii="Times New Roman" w:eastAsia="Times New Roman" w:hAnsi="Times New Roman" w:cs="Times New Roman"/>
          <w:b/>
          <w:bCs/>
          <w:color w:val="000000" w:themeColor="text1"/>
          <w:kern w:val="0"/>
          <w:sz w:val="20"/>
          <w:szCs w:val="20"/>
          <w:lang w:eastAsia="ru-RU"/>
          <w14:ligatures w14:val="none"/>
        </w:rPr>
        <w:br/>
        <w:t>29 жовтня 2026 р. за N 1440/46834</w:t>
      </w:r>
      <w:r w:rsidR="00C61E08" w:rsidRPr="00C61E08">
        <w:rPr>
          <w:rFonts w:ascii="Times New Roman" w:eastAsia="Times New Roman" w:hAnsi="Times New Roman" w:cs="Times New Roman"/>
          <w:b/>
          <w:bCs/>
          <w:color w:val="000000" w:themeColor="text1"/>
          <w:kern w:val="0"/>
          <w:sz w:val="20"/>
          <w:szCs w:val="20"/>
          <w:lang w:val="ru-RU" w:eastAsia="ru-RU"/>
          <w14:ligatures w14:val="none"/>
        </w:rPr>
        <w:t xml:space="preserve"> </w:t>
      </w:r>
    </w:p>
    <w:p w14:paraId="509195C7" w14:textId="77777777" w:rsidR="00CB079A" w:rsidRPr="00CB079A" w:rsidRDefault="00CB079A" w:rsidP="00CB079A">
      <w:pPr>
        <w:jc w:val="center"/>
        <w:outlineLvl w:val="1"/>
        <w:rPr>
          <w:rFonts w:ascii="Times New Roman" w:eastAsia="Times New Roman" w:hAnsi="Times New Roman" w:cs="Times New Roman"/>
          <w:b/>
          <w:bCs/>
          <w:color w:val="000000" w:themeColor="text1"/>
          <w:kern w:val="0"/>
          <w:sz w:val="20"/>
          <w:szCs w:val="20"/>
          <w:lang w:eastAsia="ru-RU"/>
          <w14:ligatures w14:val="none"/>
        </w:rPr>
      </w:pPr>
      <w:r w:rsidRPr="00CB079A">
        <w:rPr>
          <w:rFonts w:ascii="Times New Roman" w:eastAsia="Times New Roman" w:hAnsi="Times New Roman" w:cs="Times New Roman"/>
          <w:b/>
          <w:bCs/>
          <w:color w:val="000000" w:themeColor="text1"/>
          <w:kern w:val="0"/>
          <w:sz w:val="20"/>
          <w:szCs w:val="20"/>
          <w:lang w:eastAsia="ru-RU"/>
          <w14:ligatures w14:val="none"/>
        </w:rPr>
        <w:t>Про затвердження Змін до розділу III Порядку заповнення реквізиту "Призначення платежу" платіжної інструкції під час сплати (стягнення) податків, зборів, митних, інших платежів, єдиного внеску на загальнообов'язкове державне соціальне страхування, внесення авансових платежів (передоплати), грошової застави, а також у разі їх повернення</w:t>
      </w:r>
    </w:p>
    <w:p w14:paraId="7C2BCA95" w14:textId="77777777" w:rsidR="00CB079A" w:rsidRPr="00CB079A" w:rsidRDefault="00CB079A" w:rsidP="00CB079A">
      <w:pPr>
        <w:jc w:val="both"/>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 xml:space="preserve">Відповідно до вимог </w:t>
      </w:r>
      <w:hyperlink r:id="rId4" w:tgtFrame="_blank" w:history="1">
        <w:r w:rsidRPr="00CB079A">
          <w:rPr>
            <w:rFonts w:ascii="Times New Roman" w:eastAsia="Times New Roman" w:hAnsi="Times New Roman" w:cs="Times New Roman"/>
            <w:color w:val="000000" w:themeColor="text1"/>
            <w:kern w:val="0"/>
            <w:sz w:val="20"/>
            <w:szCs w:val="20"/>
            <w:lang w:eastAsia="ru-RU"/>
            <w14:ligatures w14:val="none"/>
          </w:rPr>
          <w:t>Податкового кодексу України</w:t>
        </w:r>
      </w:hyperlink>
      <w:r w:rsidRPr="00CB079A">
        <w:rPr>
          <w:rFonts w:ascii="Times New Roman" w:eastAsia="Times New Roman" w:hAnsi="Times New Roman" w:cs="Times New Roman"/>
          <w:color w:val="000000" w:themeColor="text1"/>
          <w:kern w:val="0"/>
          <w:sz w:val="20"/>
          <w:szCs w:val="20"/>
          <w:lang w:eastAsia="ru-RU"/>
          <w14:ligatures w14:val="none"/>
        </w:rPr>
        <w:t xml:space="preserve">, </w:t>
      </w:r>
      <w:hyperlink r:id="rId5" w:tgtFrame="_blank" w:history="1">
        <w:r w:rsidRPr="00CB079A">
          <w:rPr>
            <w:rFonts w:ascii="Times New Roman" w:eastAsia="Times New Roman" w:hAnsi="Times New Roman" w:cs="Times New Roman"/>
            <w:color w:val="000000" w:themeColor="text1"/>
            <w:kern w:val="0"/>
            <w:sz w:val="20"/>
            <w:szCs w:val="20"/>
            <w:lang w:eastAsia="ru-RU"/>
            <w14:ligatures w14:val="none"/>
          </w:rPr>
          <w:t>Закону України "Про платіжні послуги"</w:t>
        </w:r>
      </w:hyperlink>
      <w:r w:rsidRPr="00CB079A">
        <w:rPr>
          <w:rFonts w:ascii="Times New Roman" w:eastAsia="Times New Roman" w:hAnsi="Times New Roman" w:cs="Times New Roman"/>
          <w:color w:val="000000" w:themeColor="text1"/>
          <w:kern w:val="0"/>
          <w:sz w:val="20"/>
          <w:szCs w:val="20"/>
          <w:lang w:eastAsia="ru-RU"/>
          <w14:ligatures w14:val="none"/>
        </w:rPr>
        <w:t xml:space="preserve">, підпункту 5 пункту 4 Положення про Міністерство фінансів України, затвердженого </w:t>
      </w:r>
      <w:hyperlink r:id="rId6" w:tgtFrame="_blank" w:history="1">
        <w:r w:rsidRPr="00CB079A">
          <w:rPr>
            <w:rFonts w:ascii="Times New Roman" w:eastAsia="Times New Roman" w:hAnsi="Times New Roman" w:cs="Times New Roman"/>
            <w:color w:val="000000" w:themeColor="text1"/>
            <w:kern w:val="0"/>
            <w:sz w:val="20"/>
            <w:szCs w:val="20"/>
            <w:lang w:eastAsia="ru-RU"/>
            <w14:ligatures w14:val="none"/>
          </w:rPr>
          <w:t>постановою Кабінету Міністрів України від 20 серпня 2014 року N 375</w:t>
        </w:r>
      </w:hyperlink>
      <w:r w:rsidRPr="00CB079A">
        <w:rPr>
          <w:rFonts w:ascii="Times New Roman" w:eastAsia="Times New Roman" w:hAnsi="Times New Roman" w:cs="Times New Roman"/>
          <w:color w:val="000000" w:themeColor="text1"/>
          <w:kern w:val="0"/>
          <w:sz w:val="20"/>
          <w:szCs w:val="20"/>
          <w:lang w:eastAsia="ru-RU"/>
          <w14:ligatures w14:val="none"/>
        </w:rPr>
        <w:t>, з метою врегулювання механізму заповнення платіжних інструкцій на стягнення податків, зборів, платежів у рахунок погашення податкового боргу</w:t>
      </w:r>
    </w:p>
    <w:p w14:paraId="3707A76C" w14:textId="77777777" w:rsidR="00CB079A" w:rsidRPr="00CB079A" w:rsidRDefault="00CB079A" w:rsidP="00CB079A">
      <w:pPr>
        <w:jc w:val="both"/>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b/>
          <w:bCs/>
          <w:color w:val="000000" w:themeColor="text1"/>
          <w:kern w:val="0"/>
          <w:sz w:val="20"/>
          <w:szCs w:val="20"/>
          <w:lang w:eastAsia="ru-RU"/>
          <w14:ligatures w14:val="none"/>
        </w:rPr>
        <w:t>НАКАЗУЮ:</w:t>
      </w:r>
    </w:p>
    <w:p w14:paraId="3BAEA64A" w14:textId="77777777" w:rsidR="00CB079A" w:rsidRPr="00CB079A" w:rsidRDefault="00CB079A" w:rsidP="00CB079A">
      <w:pPr>
        <w:jc w:val="both"/>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 xml:space="preserve">1. Затвердити Зміни до розділу III Порядку заповнення реквізиту "Призначення платежу" платіжної інструкції під час сплати (стягнення) податків, зборів, митних, інших платежів, єдиного внеску на загальнообов'язкове державне соціальне страхування, внесення авансових платежів (передоплати), грошової застави, а також у разі їх повернення, затвердженого </w:t>
      </w:r>
      <w:hyperlink r:id="rId7" w:tgtFrame="_blank" w:history="1">
        <w:r w:rsidRPr="00CB079A">
          <w:rPr>
            <w:rFonts w:ascii="Times New Roman" w:eastAsia="Times New Roman" w:hAnsi="Times New Roman" w:cs="Times New Roman"/>
            <w:color w:val="000000" w:themeColor="text1"/>
            <w:kern w:val="0"/>
            <w:sz w:val="20"/>
            <w:szCs w:val="20"/>
            <w:lang w:eastAsia="ru-RU"/>
            <w14:ligatures w14:val="none"/>
          </w:rPr>
          <w:t>наказом Міністерства фінансів України від 22 березня 2023 року N 148</w:t>
        </w:r>
      </w:hyperlink>
      <w:r w:rsidRPr="00CB079A">
        <w:rPr>
          <w:rFonts w:ascii="Times New Roman" w:eastAsia="Times New Roman" w:hAnsi="Times New Roman" w:cs="Times New Roman"/>
          <w:color w:val="000000" w:themeColor="text1"/>
          <w:kern w:val="0"/>
          <w:sz w:val="20"/>
          <w:szCs w:val="20"/>
          <w:lang w:eastAsia="ru-RU"/>
          <w14:ligatures w14:val="none"/>
        </w:rPr>
        <w:t>, зареєстрованого в Міністерстві юстиції України 28 березня 2023 року за N 528/39584, що додаються.</w:t>
      </w:r>
    </w:p>
    <w:p w14:paraId="362E265F" w14:textId="77777777" w:rsidR="00CB079A" w:rsidRPr="00CB079A" w:rsidRDefault="00CB079A" w:rsidP="00CB079A">
      <w:pPr>
        <w:jc w:val="both"/>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2. Департаменту забезпечення координаційно-моніторингової роботи Міністерства фінансів України забезпечити в установленому порядку:</w:t>
      </w:r>
    </w:p>
    <w:p w14:paraId="2382DAE9" w14:textId="77777777" w:rsidR="00CB079A" w:rsidRPr="00CB079A" w:rsidRDefault="00CB079A" w:rsidP="00CB079A">
      <w:pPr>
        <w:jc w:val="both"/>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подання цього наказу на державну реєстрацію до Міністерства юстиції України;</w:t>
      </w:r>
    </w:p>
    <w:p w14:paraId="6E14F2A9" w14:textId="77777777" w:rsidR="00CB079A" w:rsidRPr="00CB079A" w:rsidRDefault="00CB079A" w:rsidP="00CB079A">
      <w:pPr>
        <w:jc w:val="both"/>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оприлюднення цього наказу.</w:t>
      </w:r>
    </w:p>
    <w:p w14:paraId="34AE2B51" w14:textId="77777777" w:rsidR="00CB079A" w:rsidRPr="00CB079A" w:rsidRDefault="00CB079A" w:rsidP="00CB079A">
      <w:pPr>
        <w:jc w:val="both"/>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3. Цей наказ набирає чинності з дня його офіційного опублікування.</w:t>
      </w:r>
    </w:p>
    <w:p w14:paraId="18C087E3" w14:textId="77777777" w:rsidR="00CB079A" w:rsidRPr="00CB079A" w:rsidRDefault="00CB079A" w:rsidP="00CB079A">
      <w:pPr>
        <w:jc w:val="both"/>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4. Контроль за виконанням цього наказу покласти на першого заступника Міністра фінансів України Єрмоличева Р. В., Голову Державної податкової служби України, Голову Державної казначейської служби України Слюз Т. Я. та Голову Державної митної служби України Мандзія О. М.</w:t>
      </w:r>
    </w:p>
    <w:p w14:paraId="2D29D18E" w14:textId="77777777" w:rsidR="00CB079A" w:rsidRPr="00CB079A" w:rsidRDefault="00CB079A" w:rsidP="00CB079A">
      <w:pPr>
        <w:jc w:val="both"/>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 </w:t>
      </w:r>
    </w:p>
    <w:tbl>
      <w:tblPr>
        <w:tblW w:w="5000" w:type="pct"/>
        <w:tblCellMar>
          <w:top w:w="80" w:type="dxa"/>
          <w:left w:w="80" w:type="dxa"/>
          <w:bottom w:w="80" w:type="dxa"/>
          <w:right w:w="80" w:type="dxa"/>
        </w:tblCellMar>
        <w:tblLook w:val="04A0" w:firstRow="1" w:lastRow="0" w:firstColumn="1" w:lastColumn="0" w:noHBand="0" w:noVBand="1"/>
      </w:tblPr>
      <w:tblGrid>
        <w:gridCol w:w="4513"/>
        <w:gridCol w:w="4513"/>
      </w:tblGrid>
      <w:tr w:rsidR="00CB079A" w:rsidRPr="00CB079A" w14:paraId="540E69D9" w14:textId="77777777">
        <w:tc>
          <w:tcPr>
            <w:tcW w:w="2500" w:type="pct"/>
            <w:vAlign w:val="center"/>
            <w:hideMark/>
          </w:tcPr>
          <w:p w14:paraId="3858F001"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b/>
                <w:bCs/>
                <w:color w:val="000000" w:themeColor="text1"/>
                <w:kern w:val="0"/>
                <w:sz w:val="20"/>
                <w:szCs w:val="20"/>
                <w:lang w:eastAsia="ru-RU"/>
                <w14:ligatures w14:val="none"/>
              </w:rPr>
              <w:t>Міністр</w:t>
            </w:r>
          </w:p>
        </w:tc>
        <w:tc>
          <w:tcPr>
            <w:tcW w:w="2500" w:type="pct"/>
            <w:vAlign w:val="center"/>
            <w:hideMark/>
          </w:tcPr>
          <w:p w14:paraId="46FC31C7"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b/>
                <w:bCs/>
                <w:color w:val="000000" w:themeColor="text1"/>
                <w:kern w:val="0"/>
                <w:sz w:val="20"/>
                <w:szCs w:val="20"/>
                <w:lang w:eastAsia="ru-RU"/>
                <w14:ligatures w14:val="none"/>
              </w:rPr>
              <w:t>Сергій МАРЧЕНКО</w:t>
            </w:r>
          </w:p>
        </w:tc>
      </w:tr>
      <w:tr w:rsidR="00CB079A" w:rsidRPr="00CB079A" w14:paraId="174E3FE7" w14:textId="77777777">
        <w:tc>
          <w:tcPr>
            <w:tcW w:w="2500" w:type="pct"/>
            <w:vAlign w:val="center"/>
            <w:hideMark/>
          </w:tcPr>
          <w:p w14:paraId="47FF7968"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b/>
                <w:bCs/>
                <w:color w:val="000000" w:themeColor="text1"/>
                <w:kern w:val="0"/>
                <w:sz w:val="20"/>
                <w:szCs w:val="20"/>
                <w:lang w:eastAsia="ru-RU"/>
                <w14:ligatures w14:val="none"/>
              </w:rPr>
              <w:t>ПОГОДЖЕНО:</w:t>
            </w:r>
          </w:p>
        </w:tc>
        <w:tc>
          <w:tcPr>
            <w:tcW w:w="2500" w:type="pct"/>
            <w:vAlign w:val="center"/>
            <w:hideMark/>
          </w:tcPr>
          <w:p w14:paraId="2EE160E0"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 </w:t>
            </w:r>
          </w:p>
        </w:tc>
      </w:tr>
      <w:tr w:rsidR="00CB079A" w:rsidRPr="00CB079A" w14:paraId="15C95D0F" w14:textId="77777777">
        <w:tc>
          <w:tcPr>
            <w:tcW w:w="2500" w:type="pct"/>
            <w:vAlign w:val="center"/>
            <w:hideMark/>
          </w:tcPr>
          <w:p w14:paraId="2FF6422F"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b/>
                <w:bCs/>
                <w:color w:val="000000" w:themeColor="text1"/>
                <w:kern w:val="0"/>
                <w:sz w:val="20"/>
                <w:szCs w:val="20"/>
                <w:lang w:eastAsia="ru-RU"/>
                <w14:ligatures w14:val="none"/>
              </w:rPr>
              <w:t>Заступник Міністра</w:t>
            </w:r>
            <w:r w:rsidRPr="00CB079A">
              <w:rPr>
                <w:rFonts w:ascii="Times New Roman" w:eastAsia="Times New Roman" w:hAnsi="Times New Roman" w:cs="Times New Roman"/>
                <w:b/>
                <w:bCs/>
                <w:color w:val="000000" w:themeColor="text1"/>
                <w:kern w:val="0"/>
                <w:sz w:val="20"/>
                <w:szCs w:val="20"/>
                <w:lang w:eastAsia="ru-RU"/>
                <w14:ligatures w14:val="none"/>
              </w:rPr>
              <w:br/>
              <w:t>цифрової трансформації України</w:t>
            </w:r>
          </w:p>
        </w:tc>
        <w:tc>
          <w:tcPr>
            <w:tcW w:w="2500" w:type="pct"/>
            <w:vAlign w:val="center"/>
            <w:hideMark/>
          </w:tcPr>
          <w:p w14:paraId="1555C092"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b/>
                <w:bCs/>
                <w:color w:val="000000" w:themeColor="text1"/>
                <w:kern w:val="0"/>
                <w:sz w:val="20"/>
                <w:szCs w:val="20"/>
                <w:lang w:eastAsia="ru-RU"/>
                <w14:ligatures w14:val="none"/>
              </w:rPr>
              <w:t>Олександр ЗАКУСИЛО</w:t>
            </w:r>
          </w:p>
        </w:tc>
      </w:tr>
      <w:tr w:rsidR="00CB079A" w:rsidRPr="00CB079A" w14:paraId="5DEAB94B" w14:textId="77777777">
        <w:tc>
          <w:tcPr>
            <w:tcW w:w="2500" w:type="pct"/>
            <w:vAlign w:val="center"/>
            <w:hideMark/>
          </w:tcPr>
          <w:p w14:paraId="6903CEE1"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b/>
                <w:bCs/>
                <w:color w:val="000000" w:themeColor="text1"/>
                <w:kern w:val="0"/>
                <w:sz w:val="20"/>
                <w:szCs w:val="20"/>
                <w:lang w:eastAsia="ru-RU"/>
                <w14:ligatures w14:val="none"/>
              </w:rPr>
              <w:t>В. о. Голови Державної</w:t>
            </w:r>
            <w:r w:rsidRPr="00CB079A">
              <w:rPr>
                <w:rFonts w:ascii="Times New Roman" w:eastAsia="Times New Roman" w:hAnsi="Times New Roman" w:cs="Times New Roman"/>
                <w:b/>
                <w:bCs/>
                <w:color w:val="000000" w:themeColor="text1"/>
                <w:kern w:val="0"/>
                <w:sz w:val="20"/>
                <w:szCs w:val="20"/>
                <w:lang w:eastAsia="ru-RU"/>
                <w14:ligatures w14:val="none"/>
              </w:rPr>
              <w:br/>
              <w:t>податкової служби України</w:t>
            </w:r>
          </w:p>
        </w:tc>
        <w:tc>
          <w:tcPr>
            <w:tcW w:w="2500" w:type="pct"/>
            <w:vAlign w:val="center"/>
            <w:hideMark/>
          </w:tcPr>
          <w:p w14:paraId="5224840D"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b/>
                <w:bCs/>
                <w:color w:val="000000" w:themeColor="text1"/>
                <w:kern w:val="0"/>
                <w:sz w:val="20"/>
                <w:szCs w:val="20"/>
                <w:lang w:eastAsia="ru-RU"/>
                <w14:ligatures w14:val="none"/>
              </w:rPr>
              <w:t>Леся КАРНАУХ</w:t>
            </w:r>
          </w:p>
        </w:tc>
      </w:tr>
      <w:tr w:rsidR="00CB079A" w:rsidRPr="00CB079A" w14:paraId="48F91ABE" w14:textId="77777777">
        <w:tc>
          <w:tcPr>
            <w:tcW w:w="2500" w:type="pct"/>
            <w:vAlign w:val="center"/>
            <w:hideMark/>
          </w:tcPr>
          <w:p w14:paraId="10D35288"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b/>
                <w:bCs/>
                <w:color w:val="000000" w:themeColor="text1"/>
                <w:kern w:val="0"/>
                <w:sz w:val="20"/>
                <w:szCs w:val="20"/>
                <w:lang w:eastAsia="ru-RU"/>
                <w14:ligatures w14:val="none"/>
              </w:rPr>
              <w:t>Голова Державної</w:t>
            </w:r>
            <w:r w:rsidRPr="00CB079A">
              <w:rPr>
                <w:rFonts w:ascii="Times New Roman" w:eastAsia="Times New Roman" w:hAnsi="Times New Roman" w:cs="Times New Roman"/>
                <w:b/>
                <w:bCs/>
                <w:color w:val="000000" w:themeColor="text1"/>
                <w:kern w:val="0"/>
                <w:sz w:val="20"/>
                <w:szCs w:val="20"/>
                <w:lang w:eastAsia="ru-RU"/>
                <w14:ligatures w14:val="none"/>
              </w:rPr>
              <w:br/>
              <w:t>митної служби України</w:t>
            </w:r>
          </w:p>
        </w:tc>
        <w:tc>
          <w:tcPr>
            <w:tcW w:w="2500" w:type="pct"/>
            <w:vAlign w:val="center"/>
            <w:hideMark/>
          </w:tcPr>
          <w:p w14:paraId="1611EE8B"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b/>
                <w:bCs/>
                <w:color w:val="000000" w:themeColor="text1"/>
                <w:kern w:val="0"/>
                <w:sz w:val="20"/>
                <w:szCs w:val="20"/>
                <w:lang w:eastAsia="ru-RU"/>
                <w14:ligatures w14:val="none"/>
              </w:rPr>
              <w:t>Орест МАНДЗІЙ</w:t>
            </w:r>
          </w:p>
        </w:tc>
      </w:tr>
      <w:tr w:rsidR="00CB079A" w:rsidRPr="00CB079A" w14:paraId="3C280754" w14:textId="77777777">
        <w:tc>
          <w:tcPr>
            <w:tcW w:w="2500" w:type="pct"/>
            <w:vAlign w:val="center"/>
            <w:hideMark/>
          </w:tcPr>
          <w:p w14:paraId="1783D978"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b/>
                <w:bCs/>
                <w:color w:val="000000" w:themeColor="text1"/>
                <w:kern w:val="0"/>
                <w:sz w:val="20"/>
                <w:szCs w:val="20"/>
                <w:lang w:eastAsia="ru-RU"/>
                <w14:ligatures w14:val="none"/>
              </w:rPr>
              <w:t>Голова Державної служби</w:t>
            </w:r>
            <w:r w:rsidRPr="00CB079A">
              <w:rPr>
                <w:rFonts w:ascii="Times New Roman" w:eastAsia="Times New Roman" w:hAnsi="Times New Roman" w:cs="Times New Roman"/>
                <w:b/>
                <w:bCs/>
                <w:color w:val="000000" w:themeColor="text1"/>
                <w:kern w:val="0"/>
                <w:sz w:val="20"/>
                <w:szCs w:val="20"/>
                <w:lang w:eastAsia="ru-RU"/>
                <w14:ligatures w14:val="none"/>
              </w:rPr>
              <w:br/>
              <w:t>спеціального зв'язку та захисту</w:t>
            </w:r>
            <w:r w:rsidRPr="00CB079A">
              <w:rPr>
                <w:rFonts w:ascii="Times New Roman" w:eastAsia="Times New Roman" w:hAnsi="Times New Roman" w:cs="Times New Roman"/>
                <w:b/>
                <w:bCs/>
                <w:color w:val="000000" w:themeColor="text1"/>
                <w:kern w:val="0"/>
                <w:sz w:val="20"/>
                <w:szCs w:val="20"/>
                <w:lang w:eastAsia="ru-RU"/>
                <w14:ligatures w14:val="none"/>
              </w:rPr>
              <w:br/>
              <w:t>інформації України</w:t>
            </w:r>
          </w:p>
        </w:tc>
        <w:tc>
          <w:tcPr>
            <w:tcW w:w="2500" w:type="pct"/>
            <w:vAlign w:val="center"/>
            <w:hideMark/>
          </w:tcPr>
          <w:p w14:paraId="383AA065"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b/>
                <w:bCs/>
                <w:color w:val="000000" w:themeColor="text1"/>
                <w:kern w:val="0"/>
                <w:sz w:val="20"/>
                <w:szCs w:val="20"/>
                <w:lang w:eastAsia="ru-RU"/>
                <w14:ligatures w14:val="none"/>
              </w:rPr>
              <w:t>Олександр ПОТІЙ</w:t>
            </w:r>
          </w:p>
        </w:tc>
      </w:tr>
      <w:tr w:rsidR="00CB079A" w:rsidRPr="00CB079A" w14:paraId="17FB60E0" w14:textId="77777777">
        <w:tc>
          <w:tcPr>
            <w:tcW w:w="2500" w:type="pct"/>
            <w:vAlign w:val="center"/>
            <w:hideMark/>
          </w:tcPr>
          <w:p w14:paraId="66ADE3AD"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b/>
                <w:bCs/>
                <w:color w:val="000000" w:themeColor="text1"/>
                <w:kern w:val="0"/>
                <w:sz w:val="20"/>
                <w:szCs w:val="20"/>
                <w:lang w:eastAsia="ru-RU"/>
                <w14:ligatures w14:val="none"/>
              </w:rPr>
              <w:t>Голова Державної</w:t>
            </w:r>
            <w:r w:rsidRPr="00CB079A">
              <w:rPr>
                <w:rFonts w:ascii="Times New Roman" w:eastAsia="Times New Roman" w:hAnsi="Times New Roman" w:cs="Times New Roman"/>
                <w:b/>
                <w:bCs/>
                <w:color w:val="000000" w:themeColor="text1"/>
                <w:kern w:val="0"/>
                <w:sz w:val="20"/>
                <w:szCs w:val="20"/>
                <w:lang w:eastAsia="ru-RU"/>
                <w14:ligatures w14:val="none"/>
              </w:rPr>
              <w:br/>
              <w:t>казначейської служби України</w:t>
            </w:r>
          </w:p>
        </w:tc>
        <w:tc>
          <w:tcPr>
            <w:tcW w:w="2500" w:type="pct"/>
            <w:vAlign w:val="center"/>
            <w:hideMark/>
          </w:tcPr>
          <w:p w14:paraId="38044C99"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b/>
                <w:bCs/>
                <w:color w:val="000000" w:themeColor="text1"/>
                <w:kern w:val="0"/>
                <w:sz w:val="20"/>
                <w:szCs w:val="20"/>
                <w:lang w:eastAsia="ru-RU"/>
                <w14:ligatures w14:val="none"/>
              </w:rPr>
              <w:t>Тетяна СЛЮЗ</w:t>
            </w:r>
          </w:p>
        </w:tc>
      </w:tr>
    </w:tbl>
    <w:p w14:paraId="21C03C4E" w14:textId="77777777" w:rsidR="00CB079A" w:rsidRPr="00CB079A" w:rsidRDefault="00CB079A" w:rsidP="00CB079A">
      <w:pPr>
        <w:jc w:val="both"/>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 </w:t>
      </w:r>
    </w:p>
    <w:p w14:paraId="66D64863" w14:textId="77777777" w:rsidR="00CB079A" w:rsidRPr="00CB079A" w:rsidRDefault="00CB079A" w:rsidP="00CB079A">
      <w:pP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ЗАТВЕРДЖЕНО</w:t>
      </w:r>
      <w:r w:rsidRPr="00CB079A">
        <w:rPr>
          <w:rFonts w:ascii="Times New Roman" w:eastAsia="Times New Roman" w:hAnsi="Times New Roman" w:cs="Times New Roman"/>
          <w:color w:val="000000" w:themeColor="text1"/>
          <w:kern w:val="0"/>
          <w:sz w:val="20"/>
          <w:szCs w:val="20"/>
          <w:lang w:eastAsia="ru-RU"/>
          <w14:ligatures w14:val="none"/>
        </w:rPr>
        <w:br/>
        <w:t>Наказ Міністерства фінансів України</w:t>
      </w:r>
      <w:r w:rsidRPr="00CB079A">
        <w:rPr>
          <w:rFonts w:ascii="Times New Roman" w:eastAsia="Times New Roman" w:hAnsi="Times New Roman" w:cs="Times New Roman"/>
          <w:color w:val="000000" w:themeColor="text1"/>
          <w:kern w:val="0"/>
          <w:sz w:val="20"/>
          <w:szCs w:val="20"/>
          <w:lang w:eastAsia="ru-RU"/>
          <w14:ligatures w14:val="none"/>
        </w:rPr>
        <w:br/>
        <w:t>12 жовтня 2026 року N 544</w:t>
      </w:r>
    </w:p>
    <w:p w14:paraId="45A3E5D1" w14:textId="77777777" w:rsidR="00CB079A" w:rsidRPr="00CB079A" w:rsidRDefault="00CB079A" w:rsidP="00CB079A">
      <w:pPr>
        <w:jc w:val="center"/>
        <w:outlineLvl w:val="2"/>
        <w:rPr>
          <w:rFonts w:ascii="Times New Roman" w:eastAsia="Times New Roman" w:hAnsi="Times New Roman" w:cs="Times New Roman"/>
          <w:b/>
          <w:bCs/>
          <w:color w:val="000000" w:themeColor="text1"/>
          <w:kern w:val="0"/>
          <w:sz w:val="20"/>
          <w:szCs w:val="20"/>
          <w:lang w:eastAsia="ru-RU"/>
          <w14:ligatures w14:val="none"/>
        </w:rPr>
      </w:pPr>
      <w:r w:rsidRPr="00CB079A">
        <w:rPr>
          <w:rFonts w:ascii="Times New Roman" w:eastAsia="Times New Roman" w:hAnsi="Times New Roman" w:cs="Times New Roman"/>
          <w:b/>
          <w:bCs/>
          <w:color w:val="000000" w:themeColor="text1"/>
          <w:kern w:val="0"/>
          <w:sz w:val="20"/>
          <w:szCs w:val="20"/>
          <w:lang w:eastAsia="ru-RU"/>
          <w14:ligatures w14:val="none"/>
        </w:rPr>
        <w:t>Зміни</w:t>
      </w:r>
      <w:r w:rsidRPr="00CB079A">
        <w:rPr>
          <w:rFonts w:ascii="Times New Roman" w:eastAsia="Times New Roman" w:hAnsi="Times New Roman" w:cs="Times New Roman"/>
          <w:b/>
          <w:bCs/>
          <w:color w:val="000000" w:themeColor="text1"/>
          <w:kern w:val="0"/>
          <w:sz w:val="20"/>
          <w:szCs w:val="20"/>
          <w:lang w:eastAsia="ru-RU"/>
          <w14:ligatures w14:val="none"/>
        </w:rPr>
        <w:br/>
        <w:t xml:space="preserve">до розділу III Порядку заповнення реквізиту "Призначення платежу" платіжної інструкції під час сплати (стягнення) податків, зборів, митних, інших платежів, єдиного внеску на загальнообов'язкове державне соціальне страхування, внесення авансових платежів (передоплати), грошової застави, а також у разі їх повернення, затвердженого </w:t>
      </w:r>
      <w:hyperlink r:id="rId8" w:tgtFrame="_blank" w:history="1">
        <w:r w:rsidRPr="00CB079A">
          <w:rPr>
            <w:rFonts w:ascii="Times New Roman" w:eastAsia="Times New Roman" w:hAnsi="Times New Roman" w:cs="Times New Roman"/>
            <w:b/>
            <w:bCs/>
            <w:color w:val="000000" w:themeColor="text1"/>
            <w:kern w:val="0"/>
            <w:sz w:val="20"/>
            <w:szCs w:val="20"/>
            <w:lang w:eastAsia="ru-RU"/>
            <w14:ligatures w14:val="none"/>
          </w:rPr>
          <w:t>наказом Міністерства фінансів України від 22 березня 2023 року N 148</w:t>
        </w:r>
      </w:hyperlink>
      <w:r w:rsidRPr="00CB079A">
        <w:rPr>
          <w:rFonts w:ascii="Times New Roman" w:eastAsia="Times New Roman" w:hAnsi="Times New Roman" w:cs="Times New Roman"/>
          <w:b/>
          <w:bCs/>
          <w:color w:val="000000" w:themeColor="text1"/>
          <w:kern w:val="0"/>
          <w:sz w:val="20"/>
          <w:szCs w:val="20"/>
          <w:lang w:eastAsia="ru-RU"/>
          <w14:ligatures w14:val="none"/>
        </w:rPr>
        <w:t>, зареєстрованого в Міністерстві юстиції України 28 березня 2023 року за N 528/39584</w:t>
      </w:r>
    </w:p>
    <w:p w14:paraId="3BB45353" w14:textId="77777777" w:rsidR="00CB079A" w:rsidRPr="00CB079A" w:rsidRDefault="00CB079A" w:rsidP="00CB079A">
      <w:pPr>
        <w:jc w:val="both"/>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Пункти 1, 2 розділу III викласти в такій редакції:</w:t>
      </w:r>
    </w:p>
    <w:p w14:paraId="0FED6D2C" w14:textId="77777777" w:rsidR="00CB079A" w:rsidRPr="00CB079A" w:rsidRDefault="00CB079A" w:rsidP="00CB079A">
      <w:pPr>
        <w:jc w:val="both"/>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lastRenderedPageBreak/>
        <w:t>"1. При стягненні коштів з рахунків / електронних гаманців платників територіальними органами ДПС, перерахуванні коштів з рахунків органів державної виконавчої служби в рахунок погашення податкового боргу (заборгованості) з податків, зборів, платежів та єдиного внеску на бюджетні / небюджетні рахунки, списанні коштів передоплати (доплати) митних платежів Держмитслужбою та митницями у реквізиті "Призначення платежу" платіжної інструкції зазначені органи заповнюють такі поля:</w:t>
      </w:r>
    </w:p>
    <w:p w14:paraId="2281F88B" w14:textId="77777777" w:rsidR="00CB079A" w:rsidRPr="00CB079A" w:rsidRDefault="00CB079A" w:rsidP="00CB079A">
      <w:pPr>
        <w:jc w:val="both"/>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"Код виду сплати";</w:t>
      </w:r>
    </w:p>
    <w:p w14:paraId="6F28B1E1" w14:textId="77777777" w:rsidR="00CB079A" w:rsidRPr="00CB079A" w:rsidRDefault="00CB079A" w:rsidP="00CB079A">
      <w:pPr>
        <w:jc w:val="both"/>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"Додаткова інформація запису";</w:t>
      </w:r>
    </w:p>
    <w:p w14:paraId="073CE639" w14:textId="77777777" w:rsidR="00CB079A" w:rsidRPr="00CB079A" w:rsidRDefault="00CB079A" w:rsidP="00CB079A">
      <w:pPr>
        <w:jc w:val="both"/>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"Інформація щодо документів, які є підставою для здійснення платіжної інструкції";</w:t>
      </w:r>
    </w:p>
    <w:p w14:paraId="4658D852" w14:textId="77777777" w:rsidR="00CB079A" w:rsidRPr="00CB079A" w:rsidRDefault="00CB079A" w:rsidP="00CB079A">
      <w:pPr>
        <w:jc w:val="both"/>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"Додаткова інформація про переказ".</w:t>
      </w:r>
    </w:p>
    <w:p w14:paraId="596FA3CB" w14:textId="77777777" w:rsidR="00CB079A" w:rsidRPr="00CB079A" w:rsidRDefault="00CB079A" w:rsidP="00CB079A">
      <w:pPr>
        <w:jc w:val="both"/>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У полі "Код виду сплати" територіальні органи ДПС, органи державної виконавчої служби, Держмитслужба та митниці заповнюють код виду сплати згідно з Переліком кодів видів сплати, які використовуються органами виконавчої влади, відповідно до додатка 2 до цього Порядку.</w:t>
      </w:r>
    </w:p>
    <w:p w14:paraId="2AEB9311" w14:textId="77777777" w:rsidR="00CB079A" w:rsidRPr="00CB079A" w:rsidRDefault="00CB079A" w:rsidP="00CB079A">
      <w:pPr>
        <w:jc w:val="both"/>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У полі "Додаткова інформація запису" органи державної виконавчої служби заповнюють інформацію щодо переказу коштів у довільній формі.</w:t>
      </w:r>
    </w:p>
    <w:p w14:paraId="2A75B15E" w14:textId="77777777" w:rsidR="00CB079A" w:rsidRPr="00CB079A" w:rsidRDefault="00CB079A" w:rsidP="00CB079A">
      <w:pPr>
        <w:jc w:val="both"/>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У полі "Додаткова інформація запису" Держмитслужба або митниці заповнюють інформацію щодо переказу коштів у довільній формі, складові якої розділяються між собою знаком ";" без пропусків.</w:t>
      </w:r>
    </w:p>
    <w:p w14:paraId="002233DA" w14:textId="77777777" w:rsidR="00CB079A" w:rsidRPr="00CB079A" w:rsidRDefault="00CB079A" w:rsidP="00CB079A">
      <w:pPr>
        <w:jc w:val="both"/>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 xml:space="preserve">У полі "Додаткова інформація запису" територіальні органи ДПС заповнюють інформацію щодо виду рішення, відповідно до якого здійснюється стягнення коштів з рахунків / електронних гаманців платника у випадках, передбачених </w:t>
      </w:r>
      <w:hyperlink r:id="rId9" w:tgtFrame="_blank" w:history="1">
        <w:r w:rsidRPr="00CB079A">
          <w:rPr>
            <w:rFonts w:ascii="Times New Roman" w:eastAsia="Times New Roman" w:hAnsi="Times New Roman" w:cs="Times New Roman"/>
            <w:color w:val="000000" w:themeColor="text1"/>
            <w:kern w:val="0"/>
            <w:sz w:val="20"/>
            <w:szCs w:val="20"/>
            <w:lang w:eastAsia="ru-RU"/>
            <w14:ligatures w14:val="none"/>
          </w:rPr>
          <w:t>Кодексом</w:t>
        </w:r>
      </w:hyperlink>
      <w:r w:rsidRPr="00CB079A">
        <w:rPr>
          <w:rFonts w:ascii="Times New Roman" w:eastAsia="Times New Roman" w:hAnsi="Times New Roman" w:cs="Times New Roman"/>
          <w:color w:val="000000" w:themeColor="text1"/>
          <w:kern w:val="0"/>
          <w:sz w:val="20"/>
          <w:szCs w:val="20"/>
          <w:lang w:eastAsia="ru-RU"/>
          <w14:ligatures w14:val="none"/>
        </w:rPr>
        <w:t xml:space="preserve"> (СР - судове рішення; РК - рішення керівника (його заступника або уповноваженої особи) контролюючого органу), а також дату та номер (індекс) рішення.</w:t>
      </w:r>
    </w:p>
    <w:p w14:paraId="3B2BD75C" w14:textId="77777777" w:rsidR="00CB079A" w:rsidRPr="00CB079A" w:rsidRDefault="00CB079A" w:rsidP="00CB079A">
      <w:pPr>
        <w:jc w:val="both"/>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У полі "Інформація щодо документів, які є підставою для здійснення платіжної інструкції" територіальні органи ДПС заповнюють номер та дату платіжного документа, а надавач платіжних послуг переносить до такого поля номер та дату платіжної інструкції територіального органу ДПС, отриманої від Казначейства, відповідно до якої здійснюється стягнення коштів з рахунків / електронних гаманців платників.</w:t>
      </w:r>
    </w:p>
    <w:p w14:paraId="1BF1C1DD" w14:textId="77777777" w:rsidR="00CB079A" w:rsidRPr="00CB079A" w:rsidRDefault="00CB079A" w:rsidP="00CB079A">
      <w:pPr>
        <w:jc w:val="both"/>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У полі "Додаткова інформація про переказ" територіальні органи ДПС заповнюють "з продажем іноземної валюти" у разі стягнення коштів з рахунків платника в іноземній валюті.</w:t>
      </w:r>
    </w:p>
    <w:p w14:paraId="24A6EA31" w14:textId="77777777" w:rsidR="00CB079A" w:rsidRPr="00CB079A" w:rsidRDefault="00CB079A" w:rsidP="00CB079A">
      <w:pPr>
        <w:jc w:val="both"/>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Приклади заповнення реквізиту "Призначення платежу":</w:t>
      </w:r>
    </w:p>
    <w:tbl>
      <w:tblPr>
        <w:tblW w:w="1629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29"/>
        <w:gridCol w:w="2606"/>
        <w:gridCol w:w="2444"/>
        <w:gridCol w:w="2606"/>
        <w:gridCol w:w="1140"/>
        <w:gridCol w:w="2118"/>
        <w:gridCol w:w="1466"/>
        <w:gridCol w:w="2281"/>
      </w:tblGrid>
      <w:tr w:rsidR="00CB079A" w:rsidRPr="00CB079A" w14:paraId="243A5F64" w14:textId="77777777">
        <w:tc>
          <w:tcPr>
            <w:tcW w:w="500" w:type="pct"/>
            <w:vMerge w:val="restart"/>
            <w:tcBorders>
              <w:top w:val="outset" w:sz="6" w:space="0" w:color="auto"/>
              <w:left w:val="outset" w:sz="6" w:space="0" w:color="auto"/>
              <w:bottom w:val="outset" w:sz="6" w:space="0" w:color="auto"/>
              <w:right w:val="outset" w:sz="6" w:space="0" w:color="auto"/>
            </w:tcBorders>
            <w:vAlign w:val="center"/>
            <w:hideMark/>
          </w:tcPr>
          <w:p w14:paraId="32732867"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b/>
                <w:bCs/>
                <w:color w:val="000000" w:themeColor="text1"/>
                <w:kern w:val="0"/>
                <w:sz w:val="20"/>
                <w:szCs w:val="20"/>
                <w:lang w:eastAsia="ru-RU"/>
                <w14:ligatures w14:val="none"/>
              </w:rPr>
              <w:t>N прикладу</w:t>
            </w:r>
          </w:p>
        </w:tc>
        <w:tc>
          <w:tcPr>
            <w:tcW w:w="800" w:type="pct"/>
            <w:vMerge w:val="restart"/>
            <w:tcBorders>
              <w:top w:val="outset" w:sz="6" w:space="0" w:color="auto"/>
              <w:left w:val="outset" w:sz="6" w:space="0" w:color="auto"/>
              <w:bottom w:val="outset" w:sz="6" w:space="0" w:color="auto"/>
              <w:right w:val="outset" w:sz="6" w:space="0" w:color="auto"/>
            </w:tcBorders>
            <w:vAlign w:val="center"/>
            <w:hideMark/>
          </w:tcPr>
          <w:p w14:paraId="06E1BFA7"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b/>
                <w:bCs/>
                <w:color w:val="000000" w:themeColor="text1"/>
                <w:kern w:val="0"/>
                <w:sz w:val="20"/>
                <w:szCs w:val="20"/>
                <w:lang w:eastAsia="ru-RU"/>
                <w14:ligatures w14:val="none"/>
              </w:rPr>
              <w:t>Напрям перерахування</w:t>
            </w:r>
          </w:p>
        </w:tc>
        <w:tc>
          <w:tcPr>
            <w:tcW w:w="3700" w:type="pct"/>
            <w:gridSpan w:val="6"/>
            <w:tcBorders>
              <w:top w:val="outset" w:sz="6" w:space="0" w:color="auto"/>
              <w:left w:val="outset" w:sz="6" w:space="0" w:color="auto"/>
              <w:bottom w:val="outset" w:sz="6" w:space="0" w:color="auto"/>
              <w:right w:val="outset" w:sz="6" w:space="0" w:color="auto"/>
            </w:tcBorders>
            <w:vAlign w:val="center"/>
            <w:hideMark/>
          </w:tcPr>
          <w:p w14:paraId="1D82210B"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b/>
                <w:bCs/>
                <w:color w:val="000000" w:themeColor="text1"/>
                <w:kern w:val="0"/>
                <w:sz w:val="20"/>
                <w:szCs w:val="20"/>
                <w:lang w:eastAsia="ru-RU"/>
                <w14:ligatures w14:val="none"/>
              </w:rPr>
              <w:t>Реквізит "Призначення платежу"</w:t>
            </w:r>
          </w:p>
        </w:tc>
      </w:tr>
      <w:tr w:rsidR="00CB079A" w:rsidRPr="00CB079A" w14:paraId="587E4E62"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6E6A423D" w14:textId="77777777" w:rsidR="00CB079A" w:rsidRPr="00CB079A" w:rsidRDefault="00CB079A" w:rsidP="00CB079A">
            <w:pPr>
              <w:rPr>
                <w:rFonts w:ascii="Times New Roman" w:eastAsia="Times New Roman" w:hAnsi="Times New Roman" w:cs="Times New Roman"/>
                <w:color w:val="000000" w:themeColor="text1"/>
                <w:kern w:val="0"/>
                <w:sz w:val="20"/>
                <w:szCs w:val="20"/>
                <w:lang w:eastAsia="ru-RU"/>
                <w14:ligatures w14:val="non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7D7BFFDD" w14:textId="77777777" w:rsidR="00CB079A" w:rsidRPr="00CB079A" w:rsidRDefault="00CB079A" w:rsidP="00CB079A">
            <w:pPr>
              <w:rPr>
                <w:rFonts w:ascii="Times New Roman" w:eastAsia="Times New Roman" w:hAnsi="Times New Roman" w:cs="Times New Roman"/>
                <w:color w:val="000000" w:themeColor="text1"/>
                <w:kern w:val="0"/>
                <w:sz w:val="20"/>
                <w:szCs w:val="20"/>
                <w:lang w:eastAsia="ru-RU"/>
                <w14:ligatures w14:val="none"/>
              </w:rPr>
            </w:pPr>
          </w:p>
        </w:tc>
        <w:tc>
          <w:tcPr>
            <w:tcW w:w="1900" w:type="pct"/>
            <w:gridSpan w:val="3"/>
            <w:tcBorders>
              <w:top w:val="outset" w:sz="6" w:space="0" w:color="auto"/>
              <w:left w:val="outset" w:sz="6" w:space="0" w:color="auto"/>
              <w:bottom w:val="outset" w:sz="6" w:space="0" w:color="auto"/>
              <w:right w:val="outset" w:sz="6" w:space="0" w:color="auto"/>
            </w:tcBorders>
            <w:vAlign w:val="center"/>
            <w:hideMark/>
          </w:tcPr>
          <w:p w14:paraId="1913BC18"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b/>
                <w:bCs/>
                <w:color w:val="000000" w:themeColor="text1"/>
                <w:kern w:val="0"/>
                <w:sz w:val="20"/>
                <w:szCs w:val="20"/>
                <w:lang w:eastAsia="ru-RU"/>
                <w14:ligatures w14:val="none"/>
              </w:rPr>
              <w:t>інформація щодо документів, які є підставою для здійснення платіжної інструкції</w:t>
            </w:r>
          </w:p>
        </w:tc>
        <w:tc>
          <w:tcPr>
            <w:tcW w:w="650" w:type="pct"/>
            <w:vMerge w:val="restart"/>
            <w:tcBorders>
              <w:top w:val="outset" w:sz="6" w:space="0" w:color="auto"/>
              <w:left w:val="outset" w:sz="6" w:space="0" w:color="auto"/>
              <w:bottom w:val="outset" w:sz="6" w:space="0" w:color="auto"/>
              <w:right w:val="outset" w:sz="6" w:space="0" w:color="auto"/>
            </w:tcBorders>
            <w:vAlign w:val="center"/>
            <w:hideMark/>
          </w:tcPr>
          <w:p w14:paraId="2523B378"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b/>
                <w:bCs/>
                <w:color w:val="000000" w:themeColor="text1"/>
                <w:kern w:val="0"/>
                <w:sz w:val="20"/>
                <w:szCs w:val="20"/>
                <w:lang w:eastAsia="ru-RU"/>
                <w14:ligatures w14:val="none"/>
              </w:rPr>
              <w:t>додаткова інформація про переказ</w:t>
            </w:r>
          </w:p>
        </w:tc>
        <w:tc>
          <w:tcPr>
            <w:tcW w:w="450" w:type="pct"/>
            <w:vMerge w:val="restart"/>
            <w:tcBorders>
              <w:top w:val="outset" w:sz="6" w:space="0" w:color="auto"/>
              <w:left w:val="outset" w:sz="6" w:space="0" w:color="auto"/>
              <w:bottom w:val="outset" w:sz="6" w:space="0" w:color="auto"/>
              <w:right w:val="outset" w:sz="6" w:space="0" w:color="auto"/>
            </w:tcBorders>
            <w:vAlign w:val="center"/>
            <w:hideMark/>
          </w:tcPr>
          <w:p w14:paraId="65A8D8C2"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b/>
                <w:bCs/>
                <w:color w:val="000000" w:themeColor="text1"/>
                <w:kern w:val="0"/>
                <w:sz w:val="20"/>
                <w:szCs w:val="20"/>
                <w:lang w:eastAsia="ru-RU"/>
                <w14:ligatures w14:val="none"/>
              </w:rPr>
              <w:t>код виду сплати</w:t>
            </w:r>
          </w:p>
        </w:tc>
        <w:tc>
          <w:tcPr>
            <w:tcW w:w="700" w:type="pct"/>
            <w:vMerge w:val="restart"/>
            <w:tcBorders>
              <w:top w:val="outset" w:sz="6" w:space="0" w:color="auto"/>
              <w:left w:val="outset" w:sz="6" w:space="0" w:color="auto"/>
              <w:bottom w:val="outset" w:sz="6" w:space="0" w:color="auto"/>
              <w:right w:val="outset" w:sz="6" w:space="0" w:color="auto"/>
            </w:tcBorders>
            <w:vAlign w:val="center"/>
            <w:hideMark/>
          </w:tcPr>
          <w:p w14:paraId="19908656"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b/>
                <w:bCs/>
                <w:color w:val="000000" w:themeColor="text1"/>
                <w:kern w:val="0"/>
                <w:sz w:val="20"/>
                <w:szCs w:val="20"/>
                <w:lang w:eastAsia="ru-RU"/>
                <w14:ligatures w14:val="none"/>
              </w:rPr>
              <w:t>додаткова інформація запису</w:t>
            </w:r>
          </w:p>
        </w:tc>
      </w:tr>
      <w:tr w:rsidR="00CB079A" w:rsidRPr="00CB079A" w14:paraId="17A1926D"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0091E7D6" w14:textId="77777777" w:rsidR="00CB079A" w:rsidRPr="00CB079A" w:rsidRDefault="00CB079A" w:rsidP="00CB079A">
            <w:pPr>
              <w:rPr>
                <w:rFonts w:ascii="Times New Roman" w:eastAsia="Times New Roman" w:hAnsi="Times New Roman" w:cs="Times New Roman"/>
                <w:color w:val="000000" w:themeColor="text1"/>
                <w:kern w:val="0"/>
                <w:sz w:val="20"/>
                <w:szCs w:val="20"/>
                <w:lang w:eastAsia="ru-RU"/>
                <w14:ligatures w14:val="non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7877B53C" w14:textId="77777777" w:rsidR="00CB079A" w:rsidRPr="00CB079A" w:rsidRDefault="00CB079A" w:rsidP="00CB079A">
            <w:pPr>
              <w:rPr>
                <w:rFonts w:ascii="Times New Roman" w:eastAsia="Times New Roman" w:hAnsi="Times New Roman" w:cs="Times New Roman"/>
                <w:color w:val="000000" w:themeColor="text1"/>
                <w:kern w:val="0"/>
                <w:sz w:val="20"/>
                <w:szCs w:val="20"/>
                <w:lang w:eastAsia="ru-RU"/>
                <w14:ligatures w14:val="none"/>
              </w:rPr>
            </w:pPr>
          </w:p>
        </w:tc>
        <w:tc>
          <w:tcPr>
            <w:tcW w:w="750" w:type="pct"/>
            <w:tcBorders>
              <w:top w:val="outset" w:sz="6" w:space="0" w:color="auto"/>
              <w:left w:val="outset" w:sz="6" w:space="0" w:color="auto"/>
              <w:bottom w:val="outset" w:sz="6" w:space="0" w:color="auto"/>
              <w:right w:val="outset" w:sz="6" w:space="0" w:color="auto"/>
            </w:tcBorders>
            <w:vAlign w:val="center"/>
            <w:hideMark/>
          </w:tcPr>
          <w:p w14:paraId="2370BD5B"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b/>
                <w:bCs/>
                <w:color w:val="000000" w:themeColor="text1"/>
                <w:kern w:val="0"/>
                <w:sz w:val="20"/>
                <w:szCs w:val="20"/>
                <w:lang w:eastAsia="ru-RU"/>
                <w14:ligatures w14:val="none"/>
              </w:rPr>
              <w:t>тип / код або пропрієтарне (власне) значення / пропрієтарне власне значення</w:t>
            </w:r>
          </w:p>
        </w:tc>
        <w:tc>
          <w:tcPr>
            <w:tcW w:w="800" w:type="pct"/>
            <w:tcBorders>
              <w:top w:val="outset" w:sz="6" w:space="0" w:color="auto"/>
              <w:left w:val="outset" w:sz="6" w:space="0" w:color="auto"/>
              <w:bottom w:val="outset" w:sz="6" w:space="0" w:color="auto"/>
              <w:right w:val="outset" w:sz="6" w:space="0" w:color="auto"/>
            </w:tcBorders>
            <w:vAlign w:val="center"/>
            <w:hideMark/>
          </w:tcPr>
          <w:p w14:paraId="371D02FB"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b/>
                <w:bCs/>
                <w:color w:val="000000" w:themeColor="text1"/>
                <w:kern w:val="0"/>
                <w:sz w:val="20"/>
                <w:szCs w:val="20"/>
                <w:lang w:eastAsia="ru-RU"/>
                <w14:ligatures w14:val="none"/>
              </w:rPr>
              <w:t>номер</w:t>
            </w:r>
          </w:p>
        </w:tc>
        <w:tc>
          <w:tcPr>
            <w:tcW w:w="350" w:type="pct"/>
            <w:tcBorders>
              <w:top w:val="outset" w:sz="6" w:space="0" w:color="auto"/>
              <w:left w:val="outset" w:sz="6" w:space="0" w:color="auto"/>
              <w:bottom w:val="outset" w:sz="6" w:space="0" w:color="auto"/>
              <w:right w:val="outset" w:sz="6" w:space="0" w:color="auto"/>
            </w:tcBorders>
            <w:vAlign w:val="center"/>
            <w:hideMark/>
          </w:tcPr>
          <w:p w14:paraId="6F08367D"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b/>
                <w:bCs/>
                <w:color w:val="000000" w:themeColor="text1"/>
                <w:kern w:val="0"/>
                <w:sz w:val="20"/>
                <w:szCs w:val="20"/>
                <w:lang w:eastAsia="ru-RU"/>
                <w14:ligatures w14:val="none"/>
              </w:rPr>
              <w:t>дата</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291F5B6A" w14:textId="77777777" w:rsidR="00CB079A" w:rsidRPr="00CB079A" w:rsidRDefault="00CB079A" w:rsidP="00CB079A">
            <w:pPr>
              <w:rPr>
                <w:rFonts w:ascii="Times New Roman" w:eastAsia="Times New Roman" w:hAnsi="Times New Roman" w:cs="Times New Roman"/>
                <w:color w:val="000000" w:themeColor="text1"/>
                <w:kern w:val="0"/>
                <w:sz w:val="20"/>
                <w:szCs w:val="20"/>
                <w:lang w:eastAsia="ru-RU"/>
                <w14:ligatures w14:val="non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3302AAAE" w14:textId="77777777" w:rsidR="00CB079A" w:rsidRPr="00CB079A" w:rsidRDefault="00CB079A" w:rsidP="00CB079A">
            <w:pPr>
              <w:rPr>
                <w:rFonts w:ascii="Times New Roman" w:eastAsia="Times New Roman" w:hAnsi="Times New Roman" w:cs="Times New Roman"/>
                <w:color w:val="000000" w:themeColor="text1"/>
                <w:kern w:val="0"/>
                <w:sz w:val="20"/>
                <w:szCs w:val="20"/>
                <w:lang w:eastAsia="ru-RU"/>
                <w14:ligatures w14:val="non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085A9F65" w14:textId="77777777" w:rsidR="00CB079A" w:rsidRPr="00CB079A" w:rsidRDefault="00CB079A" w:rsidP="00CB079A">
            <w:pPr>
              <w:rPr>
                <w:rFonts w:ascii="Times New Roman" w:eastAsia="Times New Roman" w:hAnsi="Times New Roman" w:cs="Times New Roman"/>
                <w:color w:val="000000" w:themeColor="text1"/>
                <w:kern w:val="0"/>
                <w:sz w:val="20"/>
                <w:szCs w:val="20"/>
                <w:lang w:eastAsia="ru-RU"/>
                <w14:ligatures w14:val="none"/>
              </w:rPr>
            </w:pPr>
          </w:p>
        </w:tc>
      </w:tr>
      <w:tr w:rsidR="00CB079A" w:rsidRPr="00CB079A" w14:paraId="06112DC8" w14:textId="77777777">
        <w:tc>
          <w:tcPr>
            <w:tcW w:w="500" w:type="pct"/>
            <w:tcBorders>
              <w:top w:val="outset" w:sz="6" w:space="0" w:color="auto"/>
              <w:left w:val="outset" w:sz="6" w:space="0" w:color="auto"/>
              <w:bottom w:val="outset" w:sz="6" w:space="0" w:color="auto"/>
              <w:right w:val="outset" w:sz="6" w:space="0" w:color="auto"/>
            </w:tcBorders>
            <w:vAlign w:val="center"/>
            <w:hideMark/>
          </w:tcPr>
          <w:p w14:paraId="2C7B23EF"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1</w:t>
            </w:r>
          </w:p>
        </w:tc>
        <w:tc>
          <w:tcPr>
            <w:tcW w:w="800" w:type="pct"/>
            <w:tcBorders>
              <w:top w:val="outset" w:sz="6" w:space="0" w:color="auto"/>
              <w:left w:val="outset" w:sz="6" w:space="0" w:color="auto"/>
              <w:bottom w:val="outset" w:sz="6" w:space="0" w:color="auto"/>
              <w:right w:val="outset" w:sz="6" w:space="0" w:color="auto"/>
            </w:tcBorders>
            <w:vAlign w:val="center"/>
            <w:hideMark/>
          </w:tcPr>
          <w:p w14:paraId="0B1E547B" w14:textId="77777777" w:rsidR="00CB079A" w:rsidRPr="00CB079A" w:rsidRDefault="00CB079A" w:rsidP="00CB079A">
            <w:pP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Орган державної виконавчої служби перераховує кошти в рахунок погашення податкового боргу з податку на доходи фізичних осіб, стягнутого з платника в межах виконавчого провадження N 258905180 (виконавчий документ від 02.06.2021 N 23456-10У), на бюджетний рахунок</w:t>
            </w:r>
          </w:p>
        </w:tc>
        <w:tc>
          <w:tcPr>
            <w:tcW w:w="750" w:type="pct"/>
            <w:tcBorders>
              <w:top w:val="outset" w:sz="6" w:space="0" w:color="auto"/>
              <w:left w:val="outset" w:sz="6" w:space="0" w:color="auto"/>
              <w:bottom w:val="outset" w:sz="6" w:space="0" w:color="auto"/>
              <w:right w:val="outset" w:sz="6" w:space="0" w:color="auto"/>
            </w:tcBorders>
            <w:vAlign w:val="center"/>
            <w:hideMark/>
          </w:tcPr>
          <w:p w14:paraId="259B9F31"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w:t>
            </w:r>
          </w:p>
        </w:tc>
        <w:tc>
          <w:tcPr>
            <w:tcW w:w="800" w:type="pct"/>
            <w:tcBorders>
              <w:top w:val="outset" w:sz="6" w:space="0" w:color="auto"/>
              <w:left w:val="outset" w:sz="6" w:space="0" w:color="auto"/>
              <w:bottom w:val="outset" w:sz="6" w:space="0" w:color="auto"/>
              <w:right w:val="outset" w:sz="6" w:space="0" w:color="auto"/>
            </w:tcBorders>
            <w:vAlign w:val="center"/>
            <w:hideMark/>
          </w:tcPr>
          <w:p w14:paraId="5E36F098"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w:t>
            </w:r>
          </w:p>
        </w:tc>
        <w:tc>
          <w:tcPr>
            <w:tcW w:w="350" w:type="pct"/>
            <w:tcBorders>
              <w:top w:val="outset" w:sz="6" w:space="0" w:color="auto"/>
              <w:left w:val="outset" w:sz="6" w:space="0" w:color="auto"/>
              <w:bottom w:val="outset" w:sz="6" w:space="0" w:color="auto"/>
              <w:right w:val="outset" w:sz="6" w:space="0" w:color="auto"/>
            </w:tcBorders>
            <w:vAlign w:val="center"/>
            <w:hideMark/>
          </w:tcPr>
          <w:p w14:paraId="7CB8D03B"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w:t>
            </w:r>
          </w:p>
        </w:tc>
        <w:tc>
          <w:tcPr>
            <w:tcW w:w="650" w:type="pct"/>
            <w:tcBorders>
              <w:top w:val="outset" w:sz="6" w:space="0" w:color="auto"/>
              <w:left w:val="outset" w:sz="6" w:space="0" w:color="auto"/>
              <w:bottom w:val="outset" w:sz="6" w:space="0" w:color="auto"/>
              <w:right w:val="outset" w:sz="6" w:space="0" w:color="auto"/>
            </w:tcBorders>
            <w:vAlign w:val="center"/>
            <w:hideMark/>
          </w:tcPr>
          <w:p w14:paraId="59195F8B"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w:t>
            </w:r>
          </w:p>
        </w:tc>
        <w:tc>
          <w:tcPr>
            <w:tcW w:w="450" w:type="pct"/>
            <w:tcBorders>
              <w:top w:val="outset" w:sz="6" w:space="0" w:color="auto"/>
              <w:left w:val="outset" w:sz="6" w:space="0" w:color="auto"/>
              <w:bottom w:val="outset" w:sz="6" w:space="0" w:color="auto"/>
              <w:right w:val="outset" w:sz="6" w:space="0" w:color="auto"/>
            </w:tcBorders>
            <w:vAlign w:val="center"/>
            <w:hideMark/>
          </w:tcPr>
          <w:p w14:paraId="3D7337EE"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147</w:t>
            </w:r>
          </w:p>
        </w:tc>
        <w:tc>
          <w:tcPr>
            <w:tcW w:w="700" w:type="pct"/>
            <w:tcBorders>
              <w:top w:val="outset" w:sz="6" w:space="0" w:color="auto"/>
              <w:left w:val="outset" w:sz="6" w:space="0" w:color="auto"/>
              <w:bottom w:val="outset" w:sz="6" w:space="0" w:color="auto"/>
              <w:right w:val="outset" w:sz="6" w:space="0" w:color="auto"/>
            </w:tcBorders>
            <w:vAlign w:val="center"/>
            <w:hideMark/>
          </w:tcPr>
          <w:p w14:paraId="08357689" w14:textId="77777777" w:rsidR="00CB079A" w:rsidRPr="00CB079A" w:rsidRDefault="00CB079A" w:rsidP="00CB079A">
            <w:pP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стягнення, виконавче провадження</w:t>
            </w:r>
            <w:r w:rsidRPr="00CB079A">
              <w:rPr>
                <w:rFonts w:ascii="Times New Roman" w:eastAsia="Times New Roman" w:hAnsi="Times New Roman" w:cs="Times New Roman"/>
                <w:color w:val="000000" w:themeColor="text1"/>
                <w:kern w:val="0"/>
                <w:sz w:val="20"/>
                <w:szCs w:val="20"/>
                <w:lang w:eastAsia="ru-RU"/>
                <w14:ligatures w14:val="none"/>
              </w:rPr>
              <w:br/>
              <w:t>N 258905180, виконавчий документ</w:t>
            </w:r>
            <w:r w:rsidRPr="00CB079A">
              <w:rPr>
                <w:rFonts w:ascii="Times New Roman" w:eastAsia="Times New Roman" w:hAnsi="Times New Roman" w:cs="Times New Roman"/>
                <w:color w:val="000000" w:themeColor="text1"/>
                <w:kern w:val="0"/>
                <w:sz w:val="20"/>
                <w:szCs w:val="20"/>
                <w:lang w:eastAsia="ru-RU"/>
                <w14:ligatures w14:val="none"/>
              </w:rPr>
              <w:br/>
              <w:t>від 02.06.2021</w:t>
            </w:r>
            <w:r w:rsidRPr="00CB079A">
              <w:rPr>
                <w:rFonts w:ascii="Times New Roman" w:eastAsia="Times New Roman" w:hAnsi="Times New Roman" w:cs="Times New Roman"/>
                <w:color w:val="000000" w:themeColor="text1"/>
                <w:kern w:val="0"/>
                <w:sz w:val="20"/>
                <w:szCs w:val="20"/>
                <w:lang w:eastAsia="ru-RU"/>
                <w14:ligatures w14:val="none"/>
              </w:rPr>
              <w:br/>
              <w:t>N 23456-10У</w:t>
            </w:r>
          </w:p>
        </w:tc>
      </w:tr>
      <w:tr w:rsidR="00CB079A" w:rsidRPr="00CB079A" w14:paraId="38AAEAB3" w14:textId="77777777">
        <w:tc>
          <w:tcPr>
            <w:tcW w:w="500" w:type="pct"/>
            <w:tcBorders>
              <w:top w:val="outset" w:sz="6" w:space="0" w:color="auto"/>
              <w:left w:val="outset" w:sz="6" w:space="0" w:color="auto"/>
              <w:bottom w:val="outset" w:sz="6" w:space="0" w:color="auto"/>
              <w:right w:val="outset" w:sz="6" w:space="0" w:color="auto"/>
            </w:tcBorders>
            <w:vAlign w:val="center"/>
            <w:hideMark/>
          </w:tcPr>
          <w:p w14:paraId="5C15F41F"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2</w:t>
            </w:r>
          </w:p>
        </w:tc>
        <w:tc>
          <w:tcPr>
            <w:tcW w:w="800" w:type="pct"/>
            <w:tcBorders>
              <w:top w:val="outset" w:sz="6" w:space="0" w:color="auto"/>
              <w:left w:val="outset" w:sz="6" w:space="0" w:color="auto"/>
              <w:bottom w:val="outset" w:sz="6" w:space="0" w:color="auto"/>
              <w:right w:val="outset" w:sz="6" w:space="0" w:color="auto"/>
            </w:tcBorders>
            <w:vAlign w:val="center"/>
            <w:hideMark/>
          </w:tcPr>
          <w:p w14:paraId="51433861" w14:textId="77777777" w:rsidR="00CB079A" w:rsidRPr="00CB079A" w:rsidRDefault="00CB079A" w:rsidP="00CB079A">
            <w:pP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Держмитслужба перераховує кошти підприємств з єдиного рахунку, що підлягають зарахуванню до державного бюджету як митні платежі, де</w:t>
            </w:r>
            <w:r w:rsidRPr="00CB079A">
              <w:rPr>
                <w:rFonts w:ascii="Times New Roman" w:eastAsia="Times New Roman" w:hAnsi="Times New Roman" w:cs="Times New Roman"/>
                <w:color w:val="000000" w:themeColor="text1"/>
                <w:kern w:val="0"/>
                <w:sz w:val="20"/>
                <w:szCs w:val="20"/>
                <w:lang w:eastAsia="ru-RU"/>
                <w14:ligatures w14:val="none"/>
              </w:rPr>
              <w:br/>
              <w:t>43958385 - податковий номер митниці, яка здійснила митне оформлення;</w:t>
            </w:r>
            <w:r w:rsidRPr="00CB079A">
              <w:rPr>
                <w:rFonts w:ascii="Times New Roman" w:eastAsia="Times New Roman" w:hAnsi="Times New Roman" w:cs="Times New Roman"/>
                <w:color w:val="000000" w:themeColor="text1"/>
                <w:kern w:val="0"/>
                <w:sz w:val="20"/>
                <w:szCs w:val="20"/>
                <w:lang w:eastAsia="ru-RU"/>
                <w14:ligatures w14:val="none"/>
              </w:rPr>
              <w:br/>
              <w:t>15010100 - код бюджетної класифікації;</w:t>
            </w:r>
            <w:r w:rsidRPr="00CB079A">
              <w:rPr>
                <w:rFonts w:ascii="Times New Roman" w:eastAsia="Times New Roman" w:hAnsi="Times New Roman" w:cs="Times New Roman"/>
                <w:color w:val="000000" w:themeColor="text1"/>
                <w:kern w:val="0"/>
                <w:sz w:val="20"/>
                <w:szCs w:val="20"/>
                <w:lang w:eastAsia="ru-RU"/>
                <w14:ligatures w14:val="none"/>
              </w:rPr>
              <w:br/>
              <w:t>01 - код бюджетної програми;</w:t>
            </w:r>
            <w:r w:rsidRPr="00CB079A">
              <w:rPr>
                <w:rFonts w:ascii="Times New Roman" w:eastAsia="Times New Roman" w:hAnsi="Times New Roman" w:cs="Times New Roman"/>
                <w:color w:val="000000" w:themeColor="text1"/>
                <w:kern w:val="0"/>
                <w:sz w:val="20"/>
                <w:szCs w:val="20"/>
                <w:lang w:eastAsia="ru-RU"/>
                <w14:ligatures w14:val="none"/>
              </w:rPr>
              <w:br/>
              <w:t>С.060 - код символу звітності;</w:t>
            </w:r>
            <w:r w:rsidRPr="00CB079A">
              <w:rPr>
                <w:rFonts w:ascii="Times New Roman" w:eastAsia="Times New Roman" w:hAnsi="Times New Roman" w:cs="Times New Roman"/>
                <w:color w:val="000000" w:themeColor="text1"/>
                <w:kern w:val="0"/>
                <w:sz w:val="20"/>
                <w:szCs w:val="20"/>
                <w:lang w:eastAsia="ru-RU"/>
                <w14:ligatures w14:val="none"/>
              </w:rPr>
              <w:br/>
              <w:t>020 - код виду надходжень</w:t>
            </w:r>
          </w:p>
        </w:tc>
        <w:tc>
          <w:tcPr>
            <w:tcW w:w="750" w:type="pct"/>
            <w:tcBorders>
              <w:top w:val="outset" w:sz="6" w:space="0" w:color="auto"/>
              <w:left w:val="outset" w:sz="6" w:space="0" w:color="auto"/>
              <w:bottom w:val="outset" w:sz="6" w:space="0" w:color="auto"/>
              <w:right w:val="outset" w:sz="6" w:space="0" w:color="auto"/>
            </w:tcBorders>
            <w:vAlign w:val="center"/>
            <w:hideMark/>
          </w:tcPr>
          <w:p w14:paraId="1AD6C964"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w:t>
            </w:r>
          </w:p>
        </w:tc>
        <w:tc>
          <w:tcPr>
            <w:tcW w:w="800" w:type="pct"/>
            <w:tcBorders>
              <w:top w:val="outset" w:sz="6" w:space="0" w:color="auto"/>
              <w:left w:val="outset" w:sz="6" w:space="0" w:color="auto"/>
              <w:bottom w:val="outset" w:sz="6" w:space="0" w:color="auto"/>
              <w:right w:val="outset" w:sz="6" w:space="0" w:color="auto"/>
            </w:tcBorders>
            <w:vAlign w:val="center"/>
            <w:hideMark/>
          </w:tcPr>
          <w:p w14:paraId="3CF8C73D"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w:t>
            </w:r>
          </w:p>
        </w:tc>
        <w:tc>
          <w:tcPr>
            <w:tcW w:w="350" w:type="pct"/>
            <w:tcBorders>
              <w:top w:val="outset" w:sz="6" w:space="0" w:color="auto"/>
              <w:left w:val="outset" w:sz="6" w:space="0" w:color="auto"/>
              <w:bottom w:val="outset" w:sz="6" w:space="0" w:color="auto"/>
              <w:right w:val="outset" w:sz="6" w:space="0" w:color="auto"/>
            </w:tcBorders>
            <w:vAlign w:val="center"/>
            <w:hideMark/>
          </w:tcPr>
          <w:p w14:paraId="2F0034B2"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w:t>
            </w:r>
          </w:p>
        </w:tc>
        <w:tc>
          <w:tcPr>
            <w:tcW w:w="650" w:type="pct"/>
            <w:tcBorders>
              <w:top w:val="outset" w:sz="6" w:space="0" w:color="auto"/>
              <w:left w:val="outset" w:sz="6" w:space="0" w:color="auto"/>
              <w:bottom w:val="outset" w:sz="6" w:space="0" w:color="auto"/>
              <w:right w:val="outset" w:sz="6" w:space="0" w:color="auto"/>
            </w:tcBorders>
            <w:vAlign w:val="center"/>
            <w:hideMark/>
          </w:tcPr>
          <w:p w14:paraId="35F259B8"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w:t>
            </w:r>
          </w:p>
        </w:tc>
        <w:tc>
          <w:tcPr>
            <w:tcW w:w="450" w:type="pct"/>
            <w:tcBorders>
              <w:top w:val="outset" w:sz="6" w:space="0" w:color="auto"/>
              <w:left w:val="outset" w:sz="6" w:space="0" w:color="auto"/>
              <w:bottom w:val="outset" w:sz="6" w:space="0" w:color="auto"/>
              <w:right w:val="outset" w:sz="6" w:space="0" w:color="auto"/>
            </w:tcBorders>
            <w:vAlign w:val="center"/>
            <w:hideMark/>
          </w:tcPr>
          <w:p w14:paraId="2D68C581"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351</w:t>
            </w:r>
          </w:p>
        </w:tc>
        <w:tc>
          <w:tcPr>
            <w:tcW w:w="700" w:type="pct"/>
            <w:tcBorders>
              <w:top w:val="outset" w:sz="6" w:space="0" w:color="auto"/>
              <w:left w:val="outset" w:sz="6" w:space="0" w:color="auto"/>
              <w:bottom w:val="outset" w:sz="6" w:space="0" w:color="auto"/>
              <w:right w:val="outset" w:sz="6" w:space="0" w:color="auto"/>
            </w:tcBorders>
            <w:vAlign w:val="center"/>
            <w:hideMark/>
          </w:tcPr>
          <w:p w14:paraId="276DC1A7" w14:textId="77777777" w:rsidR="00CB079A" w:rsidRPr="00CB079A" w:rsidRDefault="00CB079A" w:rsidP="00CB079A">
            <w:pP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43958385;</w:t>
            </w:r>
            <w:r w:rsidRPr="00CB079A">
              <w:rPr>
                <w:rFonts w:ascii="Times New Roman" w:eastAsia="Times New Roman" w:hAnsi="Times New Roman" w:cs="Times New Roman"/>
                <w:color w:val="000000" w:themeColor="text1"/>
                <w:kern w:val="0"/>
                <w:sz w:val="20"/>
                <w:szCs w:val="20"/>
                <w:lang w:eastAsia="ru-RU"/>
                <w14:ligatures w14:val="none"/>
              </w:rPr>
              <w:br/>
              <w:t>15010100; 01;</w:t>
            </w:r>
            <w:r w:rsidRPr="00CB079A">
              <w:rPr>
                <w:rFonts w:ascii="Times New Roman" w:eastAsia="Times New Roman" w:hAnsi="Times New Roman" w:cs="Times New Roman"/>
                <w:color w:val="000000" w:themeColor="text1"/>
                <w:kern w:val="0"/>
                <w:sz w:val="20"/>
                <w:szCs w:val="20"/>
                <w:lang w:eastAsia="ru-RU"/>
                <w14:ligatures w14:val="none"/>
              </w:rPr>
              <w:br/>
              <w:t>С.060; 020</w:t>
            </w:r>
          </w:p>
        </w:tc>
      </w:tr>
      <w:tr w:rsidR="00CB079A" w:rsidRPr="00CB079A" w14:paraId="2FB5D1D3" w14:textId="77777777">
        <w:tc>
          <w:tcPr>
            <w:tcW w:w="500" w:type="pct"/>
            <w:tcBorders>
              <w:top w:val="outset" w:sz="6" w:space="0" w:color="auto"/>
              <w:left w:val="outset" w:sz="6" w:space="0" w:color="auto"/>
              <w:bottom w:val="outset" w:sz="6" w:space="0" w:color="auto"/>
              <w:right w:val="outset" w:sz="6" w:space="0" w:color="auto"/>
            </w:tcBorders>
            <w:vAlign w:val="center"/>
            <w:hideMark/>
          </w:tcPr>
          <w:p w14:paraId="0FFAB65D"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lastRenderedPageBreak/>
              <w:t>3</w:t>
            </w:r>
          </w:p>
        </w:tc>
        <w:tc>
          <w:tcPr>
            <w:tcW w:w="800" w:type="pct"/>
            <w:tcBorders>
              <w:top w:val="outset" w:sz="6" w:space="0" w:color="auto"/>
              <w:left w:val="outset" w:sz="6" w:space="0" w:color="auto"/>
              <w:bottom w:val="outset" w:sz="6" w:space="0" w:color="auto"/>
              <w:right w:val="outset" w:sz="6" w:space="0" w:color="auto"/>
            </w:tcBorders>
            <w:vAlign w:val="center"/>
            <w:hideMark/>
          </w:tcPr>
          <w:p w14:paraId="2032BF64" w14:textId="77777777" w:rsidR="00CB079A" w:rsidRPr="00CB079A" w:rsidRDefault="00CB079A" w:rsidP="00CB079A">
            <w:pP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Волинська митниця перераховує кошти з депозитного рахунку, що підлягають зарахуванню до державного бюджету як митні та інші платежі, де 44029610 - податковий номер митниці;</w:t>
            </w:r>
            <w:r w:rsidRPr="00CB079A">
              <w:rPr>
                <w:rFonts w:ascii="Times New Roman" w:eastAsia="Times New Roman" w:hAnsi="Times New Roman" w:cs="Times New Roman"/>
                <w:color w:val="000000" w:themeColor="text1"/>
                <w:kern w:val="0"/>
                <w:sz w:val="20"/>
                <w:szCs w:val="20"/>
                <w:lang w:eastAsia="ru-RU"/>
                <w14:ligatures w14:val="none"/>
              </w:rPr>
              <w:br/>
              <w:t>14070200 - код бюджетної класифікації;</w:t>
            </w:r>
            <w:r w:rsidRPr="00CB079A">
              <w:rPr>
                <w:rFonts w:ascii="Times New Roman" w:eastAsia="Times New Roman" w:hAnsi="Times New Roman" w:cs="Times New Roman"/>
                <w:color w:val="000000" w:themeColor="text1"/>
                <w:kern w:val="0"/>
                <w:sz w:val="20"/>
                <w:szCs w:val="20"/>
                <w:lang w:eastAsia="ru-RU"/>
                <w14:ligatures w14:val="none"/>
              </w:rPr>
              <w:br/>
              <w:t>01 - код бюджетної програми;</w:t>
            </w:r>
            <w:r w:rsidRPr="00CB079A">
              <w:rPr>
                <w:rFonts w:ascii="Times New Roman" w:eastAsia="Times New Roman" w:hAnsi="Times New Roman" w:cs="Times New Roman"/>
                <w:color w:val="000000" w:themeColor="text1"/>
                <w:kern w:val="0"/>
                <w:sz w:val="20"/>
                <w:szCs w:val="20"/>
                <w:lang w:eastAsia="ru-RU"/>
                <w14:ligatures w14:val="none"/>
              </w:rPr>
              <w:br/>
              <w:t>С.050 - код символу звітності;</w:t>
            </w:r>
            <w:r w:rsidRPr="00CB079A">
              <w:rPr>
                <w:rFonts w:ascii="Times New Roman" w:eastAsia="Times New Roman" w:hAnsi="Times New Roman" w:cs="Times New Roman"/>
                <w:color w:val="000000" w:themeColor="text1"/>
                <w:kern w:val="0"/>
                <w:sz w:val="20"/>
                <w:szCs w:val="20"/>
                <w:lang w:eastAsia="ru-RU"/>
                <w14:ligatures w14:val="none"/>
              </w:rPr>
              <w:br/>
              <w:t>029 - код виду надходжень</w:t>
            </w:r>
          </w:p>
        </w:tc>
        <w:tc>
          <w:tcPr>
            <w:tcW w:w="750" w:type="pct"/>
            <w:tcBorders>
              <w:top w:val="outset" w:sz="6" w:space="0" w:color="auto"/>
              <w:left w:val="outset" w:sz="6" w:space="0" w:color="auto"/>
              <w:bottom w:val="outset" w:sz="6" w:space="0" w:color="auto"/>
              <w:right w:val="outset" w:sz="6" w:space="0" w:color="auto"/>
            </w:tcBorders>
            <w:vAlign w:val="center"/>
            <w:hideMark/>
          </w:tcPr>
          <w:p w14:paraId="55E51C3E"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w:t>
            </w:r>
          </w:p>
        </w:tc>
        <w:tc>
          <w:tcPr>
            <w:tcW w:w="800" w:type="pct"/>
            <w:tcBorders>
              <w:top w:val="outset" w:sz="6" w:space="0" w:color="auto"/>
              <w:left w:val="outset" w:sz="6" w:space="0" w:color="auto"/>
              <w:bottom w:val="outset" w:sz="6" w:space="0" w:color="auto"/>
              <w:right w:val="outset" w:sz="6" w:space="0" w:color="auto"/>
            </w:tcBorders>
            <w:vAlign w:val="center"/>
            <w:hideMark/>
          </w:tcPr>
          <w:p w14:paraId="51796A36"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w:t>
            </w:r>
          </w:p>
        </w:tc>
        <w:tc>
          <w:tcPr>
            <w:tcW w:w="350" w:type="pct"/>
            <w:tcBorders>
              <w:top w:val="outset" w:sz="6" w:space="0" w:color="auto"/>
              <w:left w:val="outset" w:sz="6" w:space="0" w:color="auto"/>
              <w:bottom w:val="outset" w:sz="6" w:space="0" w:color="auto"/>
              <w:right w:val="outset" w:sz="6" w:space="0" w:color="auto"/>
            </w:tcBorders>
            <w:vAlign w:val="center"/>
            <w:hideMark/>
          </w:tcPr>
          <w:p w14:paraId="39EC84D7"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w:t>
            </w:r>
          </w:p>
        </w:tc>
        <w:tc>
          <w:tcPr>
            <w:tcW w:w="650" w:type="pct"/>
            <w:tcBorders>
              <w:top w:val="outset" w:sz="6" w:space="0" w:color="auto"/>
              <w:left w:val="outset" w:sz="6" w:space="0" w:color="auto"/>
              <w:bottom w:val="outset" w:sz="6" w:space="0" w:color="auto"/>
              <w:right w:val="outset" w:sz="6" w:space="0" w:color="auto"/>
            </w:tcBorders>
            <w:vAlign w:val="center"/>
            <w:hideMark/>
          </w:tcPr>
          <w:p w14:paraId="41B1032C"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w:t>
            </w:r>
          </w:p>
        </w:tc>
        <w:tc>
          <w:tcPr>
            <w:tcW w:w="450" w:type="pct"/>
            <w:tcBorders>
              <w:top w:val="outset" w:sz="6" w:space="0" w:color="auto"/>
              <w:left w:val="outset" w:sz="6" w:space="0" w:color="auto"/>
              <w:bottom w:val="outset" w:sz="6" w:space="0" w:color="auto"/>
              <w:right w:val="outset" w:sz="6" w:space="0" w:color="auto"/>
            </w:tcBorders>
            <w:vAlign w:val="center"/>
            <w:hideMark/>
          </w:tcPr>
          <w:p w14:paraId="3ED38B5F"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351</w:t>
            </w:r>
          </w:p>
        </w:tc>
        <w:tc>
          <w:tcPr>
            <w:tcW w:w="700" w:type="pct"/>
            <w:tcBorders>
              <w:top w:val="outset" w:sz="6" w:space="0" w:color="auto"/>
              <w:left w:val="outset" w:sz="6" w:space="0" w:color="auto"/>
              <w:bottom w:val="outset" w:sz="6" w:space="0" w:color="auto"/>
              <w:right w:val="outset" w:sz="6" w:space="0" w:color="auto"/>
            </w:tcBorders>
            <w:vAlign w:val="center"/>
            <w:hideMark/>
          </w:tcPr>
          <w:p w14:paraId="549693ED" w14:textId="77777777" w:rsidR="00CB079A" w:rsidRPr="00CB079A" w:rsidRDefault="00CB079A" w:rsidP="00CB079A">
            <w:pP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43958385;</w:t>
            </w:r>
            <w:r w:rsidRPr="00CB079A">
              <w:rPr>
                <w:rFonts w:ascii="Times New Roman" w:eastAsia="Times New Roman" w:hAnsi="Times New Roman" w:cs="Times New Roman"/>
                <w:color w:val="000000" w:themeColor="text1"/>
                <w:kern w:val="0"/>
                <w:sz w:val="20"/>
                <w:szCs w:val="20"/>
                <w:lang w:eastAsia="ru-RU"/>
                <w14:ligatures w14:val="none"/>
              </w:rPr>
              <w:br/>
              <w:t>14070200; 01;</w:t>
            </w:r>
            <w:r w:rsidRPr="00CB079A">
              <w:rPr>
                <w:rFonts w:ascii="Times New Roman" w:eastAsia="Times New Roman" w:hAnsi="Times New Roman" w:cs="Times New Roman"/>
                <w:color w:val="000000" w:themeColor="text1"/>
                <w:kern w:val="0"/>
                <w:sz w:val="20"/>
                <w:szCs w:val="20"/>
                <w:lang w:eastAsia="ru-RU"/>
                <w14:ligatures w14:val="none"/>
              </w:rPr>
              <w:br/>
              <w:t>С.050; 029</w:t>
            </w:r>
          </w:p>
        </w:tc>
      </w:tr>
      <w:tr w:rsidR="00CB079A" w:rsidRPr="00CB079A" w14:paraId="13E01FCB" w14:textId="77777777">
        <w:tc>
          <w:tcPr>
            <w:tcW w:w="500" w:type="pct"/>
            <w:tcBorders>
              <w:top w:val="outset" w:sz="6" w:space="0" w:color="auto"/>
              <w:left w:val="outset" w:sz="6" w:space="0" w:color="auto"/>
              <w:bottom w:val="outset" w:sz="6" w:space="0" w:color="auto"/>
              <w:right w:val="outset" w:sz="6" w:space="0" w:color="auto"/>
            </w:tcBorders>
            <w:vAlign w:val="center"/>
            <w:hideMark/>
          </w:tcPr>
          <w:p w14:paraId="6D3F669D"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4</w:t>
            </w:r>
          </w:p>
        </w:tc>
        <w:tc>
          <w:tcPr>
            <w:tcW w:w="800" w:type="pct"/>
            <w:tcBorders>
              <w:top w:val="outset" w:sz="6" w:space="0" w:color="auto"/>
              <w:left w:val="outset" w:sz="6" w:space="0" w:color="auto"/>
              <w:bottom w:val="outset" w:sz="6" w:space="0" w:color="auto"/>
              <w:right w:val="outset" w:sz="6" w:space="0" w:color="auto"/>
            </w:tcBorders>
            <w:vAlign w:val="center"/>
            <w:hideMark/>
          </w:tcPr>
          <w:p w14:paraId="34508282" w14:textId="77777777" w:rsidR="00CB079A" w:rsidRPr="00CB079A" w:rsidRDefault="00CB079A" w:rsidP="00CB079A">
            <w:pP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Територіальний орган ДПС стягує кошти з рахунку боржника в національній валюті в рахунок погашення податкового боргу</w:t>
            </w:r>
          </w:p>
        </w:tc>
        <w:tc>
          <w:tcPr>
            <w:tcW w:w="750" w:type="pct"/>
            <w:tcBorders>
              <w:top w:val="outset" w:sz="6" w:space="0" w:color="auto"/>
              <w:left w:val="outset" w:sz="6" w:space="0" w:color="auto"/>
              <w:bottom w:val="outset" w:sz="6" w:space="0" w:color="auto"/>
              <w:right w:val="outset" w:sz="6" w:space="0" w:color="auto"/>
            </w:tcBorders>
            <w:vAlign w:val="center"/>
            <w:hideMark/>
          </w:tcPr>
          <w:p w14:paraId="0FAB773E"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w:t>
            </w:r>
          </w:p>
        </w:tc>
        <w:tc>
          <w:tcPr>
            <w:tcW w:w="800" w:type="pct"/>
            <w:tcBorders>
              <w:top w:val="outset" w:sz="6" w:space="0" w:color="auto"/>
              <w:left w:val="outset" w:sz="6" w:space="0" w:color="auto"/>
              <w:bottom w:val="outset" w:sz="6" w:space="0" w:color="auto"/>
              <w:right w:val="outset" w:sz="6" w:space="0" w:color="auto"/>
            </w:tcBorders>
            <w:vAlign w:val="center"/>
            <w:hideMark/>
          </w:tcPr>
          <w:p w14:paraId="400A39F9"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ЕПІ-1036-1305-00026 2001</w:t>
            </w:r>
          </w:p>
        </w:tc>
        <w:tc>
          <w:tcPr>
            <w:tcW w:w="350" w:type="pct"/>
            <w:tcBorders>
              <w:top w:val="outset" w:sz="6" w:space="0" w:color="auto"/>
              <w:left w:val="outset" w:sz="6" w:space="0" w:color="auto"/>
              <w:bottom w:val="outset" w:sz="6" w:space="0" w:color="auto"/>
              <w:right w:val="outset" w:sz="6" w:space="0" w:color="auto"/>
            </w:tcBorders>
            <w:vAlign w:val="center"/>
            <w:hideMark/>
          </w:tcPr>
          <w:p w14:paraId="635EE4FD"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2025-10-25</w:t>
            </w:r>
          </w:p>
        </w:tc>
        <w:tc>
          <w:tcPr>
            <w:tcW w:w="650" w:type="pct"/>
            <w:tcBorders>
              <w:top w:val="outset" w:sz="6" w:space="0" w:color="auto"/>
              <w:left w:val="outset" w:sz="6" w:space="0" w:color="auto"/>
              <w:bottom w:val="outset" w:sz="6" w:space="0" w:color="auto"/>
              <w:right w:val="outset" w:sz="6" w:space="0" w:color="auto"/>
            </w:tcBorders>
            <w:vAlign w:val="center"/>
            <w:hideMark/>
          </w:tcPr>
          <w:p w14:paraId="4A83AE74"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w:t>
            </w:r>
          </w:p>
        </w:tc>
        <w:tc>
          <w:tcPr>
            <w:tcW w:w="450" w:type="pct"/>
            <w:tcBorders>
              <w:top w:val="outset" w:sz="6" w:space="0" w:color="auto"/>
              <w:left w:val="outset" w:sz="6" w:space="0" w:color="auto"/>
              <w:bottom w:val="outset" w:sz="6" w:space="0" w:color="auto"/>
              <w:right w:val="outset" w:sz="6" w:space="0" w:color="auto"/>
            </w:tcBorders>
            <w:vAlign w:val="center"/>
            <w:hideMark/>
          </w:tcPr>
          <w:p w14:paraId="38C86B3D"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141</w:t>
            </w:r>
          </w:p>
        </w:tc>
        <w:tc>
          <w:tcPr>
            <w:tcW w:w="700" w:type="pct"/>
            <w:tcBorders>
              <w:top w:val="outset" w:sz="6" w:space="0" w:color="auto"/>
              <w:left w:val="outset" w:sz="6" w:space="0" w:color="auto"/>
              <w:bottom w:val="outset" w:sz="6" w:space="0" w:color="auto"/>
              <w:right w:val="outset" w:sz="6" w:space="0" w:color="auto"/>
            </w:tcBorders>
            <w:vAlign w:val="center"/>
            <w:hideMark/>
          </w:tcPr>
          <w:p w14:paraId="7BC6C77E" w14:textId="77777777" w:rsidR="00CB079A" w:rsidRPr="00CB079A" w:rsidRDefault="00CB079A" w:rsidP="00CB079A">
            <w:pP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стягнення боргу:</w:t>
            </w:r>
            <w:r w:rsidRPr="00CB079A">
              <w:rPr>
                <w:rFonts w:ascii="Times New Roman" w:eastAsia="Times New Roman" w:hAnsi="Times New Roman" w:cs="Times New Roman"/>
                <w:color w:val="000000" w:themeColor="text1"/>
                <w:kern w:val="0"/>
                <w:sz w:val="20"/>
                <w:szCs w:val="20"/>
                <w:lang w:eastAsia="ru-RU"/>
                <w14:ligatures w14:val="none"/>
              </w:rPr>
              <w:br/>
              <w:t>СР</w:t>
            </w:r>
            <w:r w:rsidRPr="00CB079A">
              <w:rPr>
                <w:rFonts w:ascii="Times New Roman" w:eastAsia="Times New Roman" w:hAnsi="Times New Roman" w:cs="Times New Roman"/>
                <w:color w:val="000000" w:themeColor="text1"/>
                <w:kern w:val="0"/>
                <w:sz w:val="20"/>
                <w:szCs w:val="20"/>
                <w:lang w:eastAsia="ru-RU"/>
                <w14:ligatures w14:val="none"/>
              </w:rPr>
              <w:br/>
              <w:t>від 15.10.2025</w:t>
            </w:r>
            <w:r w:rsidRPr="00CB079A">
              <w:rPr>
                <w:rFonts w:ascii="Times New Roman" w:eastAsia="Times New Roman" w:hAnsi="Times New Roman" w:cs="Times New Roman"/>
                <w:color w:val="000000" w:themeColor="text1"/>
                <w:kern w:val="0"/>
                <w:sz w:val="20"/>
                <w:szCs w:val="20"/>
                <w:lang w:eastAsia="ru-RU"/>
                <w14:ligatures w14:val="none"/>
              </w:rPr>
              <w:br/>
              <w:t>N 420/25678/25</w:t>
            </w:r>
          </w:p>
        </w:tc>
      </w:tr>
      <w:tr w:rsidR="00CB079A" w:rsidRPr="00CB079A" w14:paraId="42C71860" w14:textId="77777777">
        <w:tc>
          <w:tcPr>
            <w:tcW w:w="500" w:type="pct"/>
            <w:tcBorders>
              <w:top w:val="outset" w:sz="6" w:space="0" w:color="auto"/>
              <w:left w:val="outset" w:sz="6" w:space="0" w:color="auto"/>
              <w:bottom w:val="outset" w:sz="6" w:space="0" w:color="auto"/>
              <w:right w:val="outset" w:sz="6" w:space="0" w:color="auto"/>
            </w:tcBorders>
            <w:vAlign w:val="center"/>
            <w:hideMark/>
          </w:tcPr>
          <w:p w14:paraId="18305B55"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5</w:t>
            </w:r>
          </w:p>
        </w:tc>
        <w:tc>
          <w:tcPr>
            <w:tcW w:w="800" w:type="pct"/>
            <w:tcBorders>
              <w:top w:val="outset" w:sz="6" w:space="0" w:color="auto"/>
              <w:left w:val="outset" w:sz="6" w:space="0" w:color="auto"/>
              <w:bottom w:val="outset" w:sz="6" w:space="0" w:color="auto"/>
              <w:right w:val="outset" w:sz="6" w:space="0" w:color="auto"/>
            </w:tcBorders>
            <w:vAlign w:val="center"/>
            <w:hideMark/>
          </w:tcPr>
          <w:p w14:paraId="122C8248" w14:textId="77777777" w:rsidR="00CB079A" w:rsidRPr="00CB079A" w:rsidRDefault="00CB079A" w:rsidP="00CB079A">
            <w:pP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Територіальний орган ДПС стягує кошти з рахунку боржника в національній валюті в рахунок погашення податкового боргу</w:t>
            </w:r>
          </w:p>
        </w:tc>
        <w:tc>
          <w:tcPr>
            <w:tcW w:w="750" w:type="pct"/>
            <w:tcBorders>
              <w:top w:val="outset" w:sz="6" w:space="0" w:color="auto"/>
              <w:left w:val="outset" w:sz="6" w:space="0" w:color="auto"/>
              <w:bottom w:val="outset" w:sz="6" w:space="0" w:color="auto"/>
              <w:right w:val="outset" w:sz="6" w:space="0" w:color="auto"/>
            </w:tcBorders>
            <w:vAlign w:val="center"/>
            <w:hideMark/>
          </w:tcPr>
          <w:p w14:paraId="508EB2B0"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w:t>
            </w:r>
          </w:p>
        </w:tc>
        <w:tc>
          <w:tcPr>
            <w:tcW w:w="800" w:type="pct"/>
            <w:tcBorders>
              <w:top w:val="outset" w:sz="6" w:space="0" w:color="auto"/>
              <w:left w:val="outset" w:sz="6" w:space="0" w:color="auto"/>
              <w:bottom w:val="outset" w:sz="6" w:space="0" w:color="auto"/>
              <w:right w:val="outset" w:sz="6" w:space="0" w:color="auto"/>
            </w:tcBorders>
            <w:vAlign w:val="center"/>
            <w:hideMark/>
          </w:tcPr>
          <w:p w14:paraId="0D69DC10"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ЕПІ-1532-1305-00026 3872</w:t>
            </w:r>
          </w:p>
        </w:tc>
        <w:tc>
          <w:tcPr>
            <w:tcW w:w="350" w:type="pct"/>
            <w:tcBorders>
              <w:top w:val="outset" w:sz="6" w:space="0" w:color="auto"/>
              <w:left w:val="outset" w:sz="6" w:space="0" w:color="auto"/>
              <w:bottom w:val="outset" w:sz="6" w:space="0" w:color="auto"/>
              <w:right w:val="outset" w:sz="6" w:space="0" w:color="auto"/>
            </w:tcBorders>
            <w:vAlign w:val="center"/>
            <w:hideMark/>
          </w:tcPr>
          <w:p w14:paraId="312C0849"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2025-12-02</w:t>
            </w:r>
          </w:p>
        </w:tc>
        <w:tc>
          <w:tcPr>
            <w:tcW w:w="650" w:type="pct"/>
            <w:tcBorders>
              <w:top w:val="outset" w:sz="6" w:space="0" w:color="auto"/>
              <w:left w:val="outset" w:sz="6" w:space="0" w:color="auto"/>
              <w:bottom w:val="outset" w:sz="6" w:space="0" w:color="auto"/>
              <w:right w:val="outset" w:sz="6" w:space="0" w:color="auto"/>
            </w:tcBorders>
            <w:vAlign w:val="center"/>
            <w:hideMark/>
          </w:tcPr>
          <w:p w14:paraId="0146B463"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w:t>
            </w:r>
          </w:p>
        </w:tc>
        <w:tc>
          <w:tcPr>
            <w:tcW w:w="450" w:type="pct"/>
            <w:tcBorders>
              <w:top w:val="outset" w:sz="6" w:space="0" w:color="auto"/>
              <w:left w:val="outset" w:sz="6" w:space="0" w:color="auto"/>
              <w:bottom w:val="outset" w:sz="6" w:space="0" w:color="auto"/>
              <w:right w:val="outset" w:sz="6" w:space="0" w:color="auto"/>
            </w:tcBorders>
            <w:vAlign w:val="center"/>
            <w:hideMark/>
          </w:tcPr>
          <w:p w14:paraId="1082E19B"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141</w:t>
            </w:r>
          </w:p>
        </w:tc>
        <w:tc>
          <w:tcPr>
            <w:tcW w:w="700" w:type="pct"/>
            <w:tcBorders>
              <w:top w:val="outset" w:sz="6" w:space="0" w:color="auto"/>
              <w:left w:val="outset" w:sz="6" w:space="0" w:color="auto"/>
              <w:bottom w:val="outset" w:sz="6" w:space="0" w:color="auto"/>
              <w:right w:val="outset" w:sz="6" w:space="0" w:color="auto"/>
            </w:tcBorders>
            <w:vAlign w:val="center"/>
            <w:hideMark/>
          </w:tcPr>
          <w:p w14:paraId="0815AE29" w14:textId="77777777" w:rsidR="00CB079A" w:rsidRPr="00CB079A" w:rsidRDefault="00CB079A" w:rsidP="00CB079A">
            <w:pP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стягнення боргу:</w:t>
            </w:r>
            <w:r w:rsidRPr="00CB079A">
              <w:rPr>
                <w:rFonts w:ascii="Times New Roman" w:eastAsia="Times New Roman" w:hAnsi="Times New Roman" w:cs="Times New Roman"/>
                <w:color w:val="000000" w:themeColor="text1"/>
                <w:kern w:val="0"/>
                <w:sz w:val="20"/>
                <w:szCs w:val="20"/>
                <w:lang w:eastAsia="ru-RU"/>
                <w14:ligatures w14:val="none"/>
              </w:rPr>
              <w:br/>
              <w:t>РК</w:t>
            </w:r>
            <w:r w:rsidRPr="00CB079A">
              <w:rPr>
                <w:rFonts w:ascii="Times New Roman" w:eastAsia="Times New Roman" w:hAnsi="Times New Roman" w:cs="Times New Roman"/>
                <w:color w:val="000000" w:themeColor="text1"/>
                <w:kern w:val="0"/>
                <w:sz w:val="20"/>
                <w:szCs w:val="20"/>
                <w:lang w:eastAsia="ru-RU"/>
                <w14:ligatures w14:val="none"/>
              </w:rPr>
              <w:br/>
              <w:t>від 25.12.2025</w:t>
            </w:r>
            <w:r w:rsidRPr="00CB079A">
              <w:rPr>
                <w:rFonts w:ascii="Times New Roman" w:eastAsia="Times New Roman" w:hAnsi="Times New Roman" w:cs="Times New Roman"/>
                <w:color w:val="000000" w:themeColor="text1"/>
                <w:kern w:val="0"/>
                <w:sz w:val="20"/>
                <w:szCs w:val="20"/>
                <w:lang w:eastAsia="ru-RU"/>
                <w14:ligatures w14:val="none"/>
              </w:rPr>
              <w:br/>
              <w:t>N 28/4-0232</w:t>
            </w:r>
          </w:p>
        </w:tc>
      </w:tr>
      <w:tr w:rsidR="00CB079A" w:rsidRPr="00CB079A" w14:paraId="59E97925" w14:textId="77777777">
        <w:tc>
          <w:tcPr>
            <w:tcW w:w="500" w:type="pct"/>
            <w:tcBorders>
              <w:top w:val="outset" w:sz="6" w:space="0" w:color="auto"/>
              <w:left w:val="outset" w:sz="6" w:space="0" w:color="auto"/>
              <w:bottom w:val="outset" w:sz="6" w:space="0" w:color="auto"/>
              <w:right w:val="outset" w:sz="6" w:space="0" w:color="auto"/>
            </w:tcBorders>
            <w:vAlign w:val="center"/>
            <w:hideMark/>
          </w:tcPr>
          <w:p w14:paraId="6AFEE2EB"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6</w:t>
            </w:r>
          </w:p>
        </w:tc>
        <w:tc>
          <w:tcPr>
            <w:tcW w:w="800" w:type="pct"/>
            <w:tcBorders>
              <w:top w:val="outset" w:sz="6" w:space="0" w:color="auto"/>
              <w:left w:val="outset" w:sz="6" w:space="0" w:color="auto"/>
              <w:bottom w:val="outset" w:sz="6" w:space="0" w:color="auto"/>
              <w:right w:val="outset" w:sz="6" w:space="0" w:color="auto"/>
            </w:tcBorders>
            <w:vAlign w:val="center"/>
            <w:hideMark/>
          </w:tcPr>
          <w:p w14:paraId="4F5430E7" w14:textId="77777777" w:rsidR="00CB079A" w:rsidRPr="00CB079A" w:rsidRDefault="00CB079A" w:rsidP="00CB079A">
            <w:pP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Територіальний орган ДПС стягує кошти в національній валюті з рахунку боржника в іноземній валюті в рахунок погашення податкового боргу</w:t>
            </w:r>
          </w:p>
        </w:tc>
        <w:tc>
          <w:tcPr>
            <w:tcW w:w="750" w:type="pct"/>
            <w:tcBorders>
              <w:top w:val="outset" w:sz="6" w:space="0" w:color="auto"/>
              <w:left w:val="outset" w:sz="6" w:space="0" w:color="auto"/>
              <w:bottom w:val="outset" w:sz="6" w:space="0" w:color="auto"/>
              <w:right w:val="outset" w:sz="6" w:space="0" w:color="auto"/>
            </w:tcBorders>
            <w:vAlign w:val="center"/>
            <w:hideMark/>
          </w:tcPr>
          <w:p w14:paraId="6BE4FE88"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w:t>
            </w:r>
          </w:p>
        </w:tc>
        <w:tc>
          <w:tcPr>
            <w:tcW w:w="800" w:type="pct"/>
            <w:tcBorders>
              <w:top w:val="outset" w:sz="6" w:space="0" w:color="auto"/>
              <w:left w:val="outset" w:sz="6" w:space="0" w:color="auto"/>
              <w:bottom w:val="outset" w:sz="6" w:space="0" w:color="auto"/>
              <w:right w:val="outset" w:sz="6" w:space="0" w:color="auto"/>
            </w:tcBorders>
            <w:vAlign w:val="center"/>
            <w:hideMark/>
          </w:tcPr>
          <w:p w14:paraId="4B05A7D5"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ЕПІ-0436-1305-00026 4005</w:t>
            </w:r>
          </w:p>
        </w:tc>
        <w:tc>
          <w:tcPr>
            <w:tcW w:w="350" w:type="pct"/>
            <w:tcBorders>
              <w:top w:val="outset" w:sz="6" w:space="0" w:color="auto"/>
              <w:left w:val="outset" w:sz="6" w:space="0" w:color="auto"/>
              <w:bottom w:val="outset" w:sz="6" w:space="0" w:color="auto"/>
              <w:right w:val="outset" w:sz="6" w:space="0" w:color="auto"/>
            </w:tcBorders>
            <w:vAlign w:val="center"/>
            <w:hideMark/>
          </w:tcPr>
          <w:p w14:paraId="33047CF5"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2026-01-29</w:t>
            </w:r>
          </w:p>
        </w:tc>
        <w:tc>
          <w:tcPr>
            <w:tcW w:w="650" w:type="pct"/>
            <w:tcBorders>
              <w:top w:val="outset" w:sz="6" w:space="0" w:color="auto"/>
              <w:left w:val="outset" w:sz="6" w:space="0" w:color="auto"/>
              <w:bottom w:val="outset" w:sz="6" w:space="0" w:color="auto"/>
              <w:right w:val="outset" w:sz="6" w:space="0" w:color="auto"/>
            </w:tcBorders>
            <w:vAlign w:val="center"/>
            <w:hideMark/>
          </w:tcPr>
          <w:p w14:paraId="4E3A9008"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з продажем іноземної валюти</w:t>
            </w:r>
          </w:p>
        </w:tc>
        <w:tc>
          <w:tcPr>
            <w:tcW w:w="450" w:type="pct"/>
            <w:tcBorders>
              <w:top w:val="outset" w:sz="6" w:space="0" w:color="auto"/>
              <w:left w:val="outset" w:sz="6" w:space="0" w:color="auto"/>
              <w:bottom w:val="outset" w:sz="6" w:space="0" w:color="auto"/>
              <w:right w:val="outset" w:sz="6" w:space="0" w:color="auto"/>
            </w:tcBorders>
            <w:vAlign w:val="center"/>
            <w:hideMark/>
          </w:tcPr>
          <w:p w14:paraId="37B45242"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141</w:t>
            </w:r>
          </w:p>
        </w:tc>
        <w:tc>
          <w:tcPr>
            <w:tcW w:w="700" w:type="pct"/>
            <w:tcBorders>
              <w:top w:val="outset" w:sz="6" w:space="0" w:color="auto"/>
              <w:left w:val="outset" w:sz="6" w:space="0" w:color="auto"/>
              <w:bottom w:val="outset" w:sz="6" w:space="0" w:color="auto"/>
              <w:right w:val="outset" w:sz="6" w:space="0" w:color="auto"/>
            </w:tcBorders>
            <w:vAlign w:val="center"/>
            <w:hideMark/>
          </w:tcPr>
          <w:p w14:paraId="1BC46F2B" w14:textId="77777777" w:rsidR="00CB079A" w:rsidRPr="00CB079A" w:rsidRDefault="00CB079A" w:rsidP="00CB079A">
            <w:pP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стягнення боргу:</w:t>
            </w:r>
            <w:r w:rsidRPr="00CB079A">
              <w:rPr>
                <w:rFonts w:ascii="Times New Roman" w:eastAsia="Times New Roman" w:hAnsi="Times New Roman" w:cs="Times New Roman"/>
                <w:color w:val="000000" w:themeColor="text1"/>
                <w:kern w:val="0"/>
                <w:sz w:val="20"/>
                <w:szCs w:val="20"/>
                <w:lang w:eastAsia="ru-RU"/>
                <w14:ligatures w14:val="none"/>
              </w:rPr>
              <w:br/>
              <w:t>РК</w:t>
            </w:r>
            <w:r w:rsidRPr="00CB079A">
              <w:rPr>
                <w:rFonts w:ascii="Times New Roman" w:eastAsia="Times New Roman" w:hAnsi="Times New Roman" w:cs="Times New Roman"/>
                <w:color w:val="000000" w:themeColor="text1"/>
                <w:kern w:val="0"/>
                <w:sz w:val="20"/>
                <w:szCs w:val="20"/>
                <w:lang w:eastAsia="ru-RU"/>
                <w14:ligatures w14:val="none"/>
              </w:rPr>
              <w:br/>
              <w:t>від 28.01.2026</w:t>
            </w:r>
            <w:r w:rsidRPr="00CB079A">
              <w:rPr>
                <w:rFonts w:ascii="Times New Roman" w:eastAsia="Times New Roman" w:hAnsi="Times New Roman" w:cs="Times New Roman"/>
                <w:color w:val="000000" w:themeColor="text1"/>
                <w:kern w:val="0"/>
                <w:sz w:val="20"/>
                <w:szCs w:val="20"/>
                <w:lang w:eastAsia="ru-RU"/>
                <w14:ligatures w14:val="none"/>
              </w:rPr>
              <w:br/>
              <w:t>N 230/4-1700</w:t>
            </w:r>
          </w:p>
        </w:tc>
      </w:tr>
    </w:tbl>
    <w:p w14:paraId="6CD966F1" w14:textId="77777777" w:rsidR="00CB079A" w:rsidRPr="00CB079A" w:rsidRDefault="00CB079A" w:rsidP="00CB079A">
      <w:pPr>
        <w:jc w:val="both"/>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2. При стягненні коштів з рахунків / електронних гаманців платників територіальними органами ДПС та перерахуванні коштів з рахунків органів державної виконавчої служби в рахунок погашення податкового боргу (заборгованості) з податків, зборів, платежів та єдиного внеску на єдиний рахунок у реквізиті "Призначення платежу" платіжної інструкції такі органи заповнюють із переліку полів, наведених у пункті 1 розділу II цього Порядку, такі поля:</w:t>
      </w:r>
    </w:p>
    <w:p w14:paraId="6B4F17F8" w14:textId="77777777" w:rsidR="00CB079A" w:rsidRPr="00CB079A" w:rsidRDefault="00CB079A" w:rsidP="00CB079A">
      <w:pPr>
        <w:jc w:val="both"/>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"Номер рахунку";</w:t>
      </w:r>
    </w:p>
    <w:p w14:paraId="54577F00" w14:textId="77777777" w:rsidR="00CB079A" w:rsidRPr="00CB079A" w:rsidRDefault="00CB079A" w:rsidP="00CB079A">
      <w:pPr>
        <w:jc w:val="both"/>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"Сума податку";</w:t>
      </w:r>
    </w:p>
    <w:p w14:paraId="3BB01138" w14:textId="77777777" w:rsidR="00CB079A" w:rsidRPr="00CB079A" w:rsidRDefault="00CB079A" w:rsidP="00CB079A">
      <w:pPr>
        <w:jc w:val="both"/>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"Додаткова інформація запису".</w:t>
      </w:r>
    </w:p>
    <w:p w14:paraId="6C917299" w14:textId="77777777" w:rsidR="00CB079A" w:rsidRPr="00CB079A" w:rsidRDefault="00CB079A" w:rsidP="00CB079A">
      <w:pPr>
        <w:jc w:val="both"/>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У полі "Номер рахунку" заповнюють номер бюджетного / небюджетного рахунку.</w:t>
      </w:r>
    </w:p>
    <w:p w14:paraId="22E64EF2" w14:textId="77777777" w:rsidR="00CB079A" w:rsidRPr="00CB079A" w:rsidRDefault="00CB079A" w:rsidP="00CB079A">
      <w:pPr>
        <w:jc w:val="both"/>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У полі "Сума податку" заповнюють суму, яка має бути зарахована на бюджетний / небюджетний рахунок.</w:t>
      </w:r>
    </w:p>
    <w:p w14:paraId="786F5B06" w14:textId="77777777" w:rsidR="00CB079A" w:rsidRPr="00CB079A" w:rsidRDefault="00CB079A" w:rsidP="00CB079A">
      <w:pPr>
        <w:jc w:val="both"/>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У полі "Додаткова інформація запису" заповнюють інформацію щодо переказу коштів у довільній формі.</w:t>
      </w:r>
    </w:p>
    <w:p w14:paraId="6303EF76" w14:textId="77777777" w:rsidR="00CB079A" w:rsidRPr="00CB079A" w:rsidRDefault="00CB079A" w:rsidP="00CB079A">
      <w:pPr>
        <w:jc w:val="both"/>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Приклади заповнення реквізиту "Призначення платежу":</w:t>
      </w:r>
    </w:p>
    <w:tbl>
      <w:tblPr>
        <w:tblW w:w="1629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66"/>
        <w:gridCol w:w="5376"/>
        <w:gridCol w:w="4724"/>
        <w:gridCol w:w="1466"/>
        <w:gridCol w:w="3258"/>
      </w:tblGrid>
      <w:tr w:rsidR="00CB079A" w:rsidRPr="00CB079A" w14:paraId="0FE79BA2" w14:textId="77777777">
        <w:tc>
          <w:tcPr>
            <w:tcW w:w="450" w:type="pct"/>
            <w:vMerge w:val="restart"/>
            <w:tcBorders>
              <w:top w:val="outset" w:sz="6" w:space="0" w:color="auto"/>
              <w:left w:val="outset" w:sz="6" w:space="0" w:color="auto"/>
              <w:bottom w:val="outset" w:sz="6" w:space="0" w:color="auto"/>
              <w:right w:val="outset" w:sz="6" w:space="0" w:color="auto"/>
            </w:tcBorders>
            <w:vAlign w:val="center"/>
            <w:hideMark/>
          </w:tcPr>
          <w:p w14:paraId="29066C7E"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b/>
                <w:bCs/>
                <w:color w:val="000000" w:themeColor="text1"/>
                <w:kern w:val="0"/>
                <w:sz w:val="20"/>
                <w:szCs w:val="20"/>
                <w:lang w:eastAsia="ru-RU"/>
                <w14:ligatures w14:val="none"/>
              </w:rPr>
              <w:t>N прикладу</w:t>
            </w:r>
          </w:p>
        </w:tc>
        <w:tc>
          <w:tcPr>
            <w:tcW w:w="1650" w:type="pct"/>
            <w:vMerge w:val="restart"/>
            <w:tcBorders>
              <w:top w:val="outset" w:sz="6" w:space="0" w:color="auto"/>
              <w:left w:val="outset" w:sz="6" w:space="0" w:color="auto"/>
              <w:bottom w:val="outset" w:sz="6" w:space="0" w:color="auto"/>
              <w:right w:val="outset" w:sz="6" w:space="0" w:color="auto"/>
            </w:tcBorders>
            <w:vAlign w:val="center"/>
            <w:hideMark/>
          </w:tcPr>
          <w:p w14:paraId="767CE374"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b/>
                <w:bCs/>
                <w:color w:val="000000" w:themeColor="text1"/>
                <w:kern w:val="0"/>
                <w:sz w:val="20"/>
                <w:szCs w:val="20"/>
                <w:lang w:eastAsia="ru-RU"/>
                <w14:ligatures w14:val="none"/>
              </w:rPr>
              <w:t>Напрям / декілька напрямів перерахування</w:t>
            </w:r>
          </w:p>
        </w:tc>
        <w:tc>
          <w:tcPr>
            <w:tcW w:w="2900" w:type="pct"/>
            <w:gridSpan w:val="3"/>
            <w:tcBorders>
              <w:top w:val="outset" w:sz="6" w:space="0" w:color="auto"/>
              <w:left w:val="outset" w:sz="6" w:space="0" w:color="auto"/>
              <w:bottom w:val="outset" w:sz="6" w:space="0" w:color="auto"/>
              <w:right w:val="outset" w:sz="6" w:space="0" w:color="auto"/>
            </w:tcBorders>
            <w:vAlign w:val="center"/>
            <w:hideMark/>
          </w:tcPr>
          <w:p w14:paraId="302ED67F"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b/>
                <w:bCs/>
                <w:color w:val="000000" w:themeColor="text1"/>
                <w:kern w:val="0"/>
                <w:sz w:val="20"/>
                <w:szCs w:val="20"/>
                <w:lang w:eastAsia="ru-RU"/>
                <w14:ligatures w14:val="none"/>
              </w:rPr>
              <w:t>Реквізит "Призначення платежу"</w:t>
            </w:r>
          </w:p>
        </w:tc>
      </w:tr>
      <w:tr w:rsidR="00CB079A" w:rsidRPr="00CB079A" w14:paraId="5D9E1E92" w14:textId="77777777">
        <w:tc>
          <w:tcPr>
            <w:tcW w:w="0" w:type="auto"/>
            <w:vMerge/>
            <w:tcBorders>
              <w:top w:val="outset" w:sz="6" w:space="0" w:color="auto"/>
              <w:left w:val="outset" w:sz="6" w:space="0" w:color="auto"/>
              <w:bottom w:val="outset" w:sz="6" w:space="0" w:color="auto"/>
              <w:right w:val="outset" w:sz="6" w:space="0" w:color="auto"/>
            </w:tcBorders>
            <w:vAlign w:val="center"/>
            <w:hideMark/>
          </w:tcPr>
          <w:p w14:paraId="434A52FE" w14:textId="77777777" w:rsidR="00CB079A" w:rsidRPr="00CB079A" w:rsidRDefault="00CB079A" w:rsidP="00CB079A">
            <w:pPr>
              <w:rPr>
                <w:rFonts w:ascii="Times New Roman" w:eastAsia="Times New Roman" w:hAnsi="Times New Roman" w:cs="Times New Roman"/>
                <w:color w:val="000000" w:themeColor="text1"/>
                <w:kern w:val="0"/>
                <w:sz w:val="20"/>
                <w:szCs w:val="20"/>
                <w:lang w:eastAsia="ru-RU"/>
                <w14:ligatures w14:val="non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155EBC82" w14:textId="77777777" w:rsidR="00CB079A" w:rsidRPr="00CB079A" w:rsidRDefault="00CB079A" w:rsidP="00CB079A">
            <w:pPr>
              <w:rPr>
                <w:rFonts w:ascii="Times New Roman" w:eastAsia="Times New Roman" w:hAnsi="Times New Roman" w:cs="Times New Roman"/>
                <w:color w:val="000000" w:themeColor="text1"/>
                <w:kern w:val="0"/>
                <w:sz w:val="20"/>
                <w:szCs w:val="20"/>
                <w:lang w:eastAsia="ru-RU"/>
                <w14:ligatures w14:val="none"/>
              </w:rPr>
            </w:pPr>
          </w:p>
        </w:tc>
        <w:tc>
          <w:tcPr>
            <w:tcW w:w="1450" w:type="pct"/>
            <w:tcBorders>
              <w:top w:val="outset" w:sz="6" w:space="0" w:color="auto"/>
              <w:left w:val="outset" w:sz="6" w:space="0" w:color="auto"/>
              <w:bottom w:val="outset" w:sz="6" w:space="0" w:color="auto"/>
              <w:right w:val="outset" w:sz="6" w:space="0" w:color="auto"/>
            </w:tcBorders>
            <w:vAlign w:val="center"/>
            <w:hideMark/>
          </w:tcPr>
          <w:p w14:paraId="6E727FB8"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b/>
                <w:bCs/>
                <w:color w:val="000000" w:themeColor="text1"/>
                <w:kern w:val="0"/>
                <w:sz w:val="20"/>
                <w:szCs w:val="20"/>
                <w:lang w:eastAsia="ru-RU"/>
                <w14:ligatures w14:val="none"/>
              </w:rPr>
              <w:t>номер рахунку</w:t>
            </w:r>
          </w:p>
        </w:tc>
        <w:tc>
          <w:tcPr>
            <w:tcW w:w="450" w:type="pct"/>
            <w:tcBorders>
              <w:top w:val="outset" w:sz="6" w:space="0" w:color="auto"/>
              <w:left w:val="outset" w:sz="6" w:space="0" w:color="auto"/>
              <w:bottom w:val="outset" w:sz="6" w:space="0" w:color="auto"/>
              <w:right w:val="outset" w:sz="6" w:space="0" w:color="auto"/>
            </w:tcBorders>
            <w:vAlign w:val="center"/>
            <w:hideMark/>
          </w:tcPr>
          <w:p w14:paraId="399AB466"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b/>
                <w:bCs/>
                <w:color w:val="000000" w:themeColor="text1"/>
                <w:kern w:val="0"/>
                <w:sz w:val="20"/>
                <w:szCs w:val="20"/>
                <w:lang w:eastAsia="ru-RU"/>
                <w14:ligatures w14:val="none"/>
              </w:rPr>
              <w:t>сума податку</w:t>
            </w:r>
          </w:p>
        </w:tc>
        <w:tc>
          <w:tcPr>
            <w:tcW w:w="1000" w:type="pct"/>
            <w:tcBorders>
              <w:top w:val="outset" w:sz="6" w:space="0" w:color="auto"/>
              <w:left w:val="outset" w:sz="6" w:space="0" w:color="auto"/>
              <w:bottom w:val="outset" w:sz="6" w:space="0" w:color="auto"/>
              <w:right w:val="outset" w:sz="6" w:space="0" w:color="auto"/>
            </w:tcBorders>
            <w:vAlign w:val="center"/>
            <w:hideMark/>
          </w:tcPr>
          <w:p w14:paraId="7F077EF3"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b/>
                <w:bCs/>
                <w:color w:val="000000" w:themeColor="text1"/>
                <w:kern w:val="0"/>
                <w:sz w:val="20"/>
                <w:szCs w:val="20"/>
                <w:lang w:eastAsia="ru-RU"/>
                <w14:ligatures w14:val="none"/>
              </w:rPr>
              <w:t>додаткова інформація запису</w:t>
            </w:r>
          </w:p>
        </w:tc>
      </w:tr>
      <w:tr w:rsidR="00CB079A" w:rsidRPr="00CB079A" w14:paraId="23314F58" w14:textId="77777777">
        <w:tc>
          <w:tcPr>
            <w:tcW w:w="450" w:type="pct"/>
            <w:tcBorders>
              <w:top w:val="outset" w:sz="6" w:space="0" w:color="auto"/>
              <w:left w:val="outset" w:sz="6" w:space="0" w:color="auto"/>
              <w:bottom w:val="outset" w:sz="6" w:space="0" w:color="auto"/>
              <w:right w:val="outset" w:sz="6" w:space="0" w:color="auto"/>
            </w:tcBorders>
            <w:vAlign w:val="center"/>
            <w:hideMark/>
          </w:tcPr>
          <w:p w14:paraId="1607AF44"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1</w:t>
            </w:r>
          </w:p>
        </w:tc>
        <w:tc>
          <w:tcPr>
            <w:tcW w:w="1650" w:type="pct"/>
            <w:tcBorders>
              <w:top w:val="outset" w:sz="6" w:space="0" w:color="auto"/>
              <w:left w:val="outset" w:sz="6" w:space="0" w:color="auto"/>
              <w:bottom w:val="outset" w:sz="6" w:space="0" w:color="auto"/>
              <w:right w:val="outset" w:sz="6" w:space="0" w:color="auto"/>
            </w:tcBorders>
            <w:vAlign w:val="center"/>
            <w:hideMark/>
          </w:tcPr>
          <w:p w14:paraId="3FDB9094" w14:textId="77777777" w:rsidR="00CB079A" w:rsidRPr="00CB079A" w:rsidRDefault="00CB079A" w:rsidP="00CB079A">
            <w:pP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Територіальні органи ДПС або органи державної виконавчої служби перераховують кошти в сумі 5000,00 грн на єдиний рахунок у рахунок погашення податкового боргу платника з податку на доходи фізичних осіб на бюджетний рахунок (UA879546213879546213879546213)</w:t>
            </w:r>
          </w:p>
        </w:tc>
        <w:tc>
          <w:tcPr>
            <w:tcW w:w="1450" w:type="pct"/>
            <w:tcBorders>
              <w:top w:val="outset" w:sz="6" w:space="0" w:color="auto"/>
              <w:left w:val="outset" w:sz="6" w:space="0" w:color="auto"/>
              <w:bottom w:val="outset" w:sz="6" w:space="0" w:color="auto"/>
              <w:right w:val="outset" w:sz="6" w:space="0" w:color="auto"/>
            </w:tcBorders>
            <w:vAlign w:val="center"/>
            <w:hideMark/>
          </w:tcPr>
          <w:p w14:paraId="6546658A"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UA879546213879546213879546213</w:t>
            </w:r>
          </w:p>
        </w:tc>
        <w:tc>
          <w:tcPr>
            <w:tcW w:w="450" w:type="pct"/>
            <w:tcBorders>
              <w:top w:val="outset" w:sz="6" w:space="0" w:color="auto"/>
              <w:left w:val="outset" w:sz="6" w:space="0" w:color="auto"/>
              <w:bottom w:val="outset" w:sz="6" w:space="0" w:color="auto"/>
              <w:right w:val="outset" w:sz="6" w:space="0" w:color="auto"/>
            </w:tcBorders>
            <w:vAlign w:val="center"/>
            <w:hideMark/>
          </w:tcPr>
          <w:p w14:paraId="58B24EED"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5000,00</w:t>
            </w:r>
          </w:p>
        </w:tc>
        <w:tc>
          <w:tcPr>
            <w:tcW w:w="1000" w:type="pct"/>
            <w:tcBorders>
              <w:top w:val="outset" w:sz="6" w:space="0" w:color="auto"/>
              <w:left w:val="outset" w:sz="6" w:space="0" w:color="auto"/>
              <w:bottom w:val="outset" w:sz="6" w:space="0" w:color="auto"/>
              <w:right w:val="outset" w:sz="6" w:space="0" w:color="auto"/>
            </w:tcBorders>
            <w:vAlign w:val="center"/>
            <w:hideMark/>
          </w:tcPr>
          <w:p w14:paraId="4B8AB43C" w14:textId="77777777" w:rsidR="00CB079A" w:rsidRPr="00CB079A" w:rsidRDefault="00CB079A" w:rsidP="00CB079A">
            <w:pP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податковий борг з податку на доходи фізичних осіб</w:t>
            </w:r>
          </w:p>
        </w:tc>
      </w:tr>
      <w:tr w:rsidR="00CB079A" w:rsidRPr="00CB079A" w14:paraId="6E16B3C9" w14:textId="77777777">
        <w:tc>
          <w:tcPr>
            <w:tcW w:w="450" w:type="pct"/>
            <w:tcBorders>
              <w:top w:val="outset" w:sz="6" w:space="0" w:color="auto"/>
              <w:left w:val="outset" w:sz="6" w:space="0" w:color="auto"/>
              <w:bottom w:val="outset" w:sz="6" w:space="0" w:color="auto"/>
              <w:right w:val="outset" w:sz="6" w:space="0" w:color="auto"/>
            </w:tcBorders>
            <w:vAlign w:val="center"/>
            <w:hideMark/>
          </w:tcPr>
          <w:p w14:paraId="35BDABE0"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2</w:t>
            </w:r>
          </w:p>
        </w:tc>
        <w:tc>
          <w:tcPr>
            <w:tcW w:w="1650" w:type="pct"/>
            <w:tcBorders>
              <w:top w:val="outset" w:sz="6" w:space="0" w:color="auto"/>
              <w:left w:val="outset" w:sz="6" w:space="0" w:color="auto"/>
              <w:bottom w:val="outset" w:sz="6" w:space="0" w:color="auto"/>
              <w:right w:val="outset" w:sz="6" w:space="0" w:color="auto"/>
            </w:tcBorders>
            <w:vAlign w:val="center"/>
            <w:hideMark/>
          </w:tcPr>
          <w:p w14:paraId="48778019" w14:textId="77777777" w:rsidR="00CB079A" w:rsidRPr="00CB079A" w:rsidRDefault="00CB079A" w:rsidP="00CB079A">
            <w:pP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Територіальні органи ДПС або органи державної виконавчої служби перераховують кошти в сумі 2000,00 грн на єдиний рахунок у рахунок погашення заборгованості з єдиного внеску на небюджетний рахунок (UA245627892132456789132456278)</w:t>
            </w:r>
          </w:p>
        </w:tc>
        <w:tc>
          <w:tcPr>
            <w:tcW w:w="1450" w:type="pct"/>
            <w:tcBorders>
              <w:top w:val="outset" w:sz="6" w:space="0" w:color="auto"/>
              <w:left w:val="outset" w:sz="6" w:space="0" w:color="auto"/>
              <w:bottom w:val="outset" w:sz="6" w:space="0" w:color="auto"/>
              <w:right w:val="outset" w:sz="6" w:space="0" w:color="auto"/>
            </w:tcBorders>
            <w:vAlign w:val="center"/>
            <w:hideMark/>
          </w:tcPr>
          <w:p w14:paraId="2B7A231D"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UA245627892132456789132456278</w:t>
            </w:r>
          </w:p>
        </w:tc>
        <w:tc>
          <w:tcPr>
            <w:tcW w:w="450" w:type="pct"/>
            <w:tcBorders>
              <w:top w:val="outset" w:sz="6" w:space="0" w:color="auto"/>
              <w:left w:val="outset" w:sz="6" w:space="0" w:color="auto"/>
              <w:bottom w:val="outset" w:sz="6" w:space="0" w:color="auto"/>
              <w:right w:val="outset" w:sz="6" w:space="0" w:color="auto"/>
            </w:tcBorders>
            <w:vAlign w:val="center"/>
            <w:hideMark/>
          </w:tcPr>
          <w:p w14:paraId="07A1D5D2"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2000,00</w:t>
            </w:r>
          </w:p>
        </w:tc>
        <w:tc>
          <w:tcPr>
            <w:tcW w:w="1000" w:type="pct"/>
            <w:tcBorders>
              <w:top w:val="outset" w:sz="6" w:space="0" w:color="auto"/>
              <w:left w:val="outset" w:sz="6" w:space="0" w:color="auto"/>
              <w:bottom w:val="outset" w:sz="6" w:space="0" w:color="auto"/>
              <w:right w:val="outset" w:sz="6" w:space="0" w:color="auto"/>
            </w:tcBorders>
            <w:vAlign w:val="center"/>
            <w:hideMark/>
          </w:tcPr>
          <w:p w14:paraId="66949B4D" w14:textId="77777777" w:rsidR="00CB079A" w:rsidRPr="00CB079A" w:rsidRDefault="00CB079A" w:rsidP="00CB079A">
            <w:pP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заборгованість з єдиного внеску</w:t>
            </w:r>
          </w:p>
        </w:tc>
      </w:tr>
    </w:tbl>
    <w:p w14:paraId="77FC058D" w14:textId="77777777" w:rsidR="00CB079A" w:rsidRPr="00CB079A" w:rsidRDefault="00CB079A" w:rsidP="00CB079A">
      <w:pPr>
        <w:jc w:val="right"/>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w:t>
      </w:r>
    </w:p>
    <w:p w14:paraId="1A6DE2D8" w14:textId="77777777" w:rsidR="00CB079A" w:rsidRPr="00CB079A" w:rsidRDefault="00CB079A" w:rsidP="00CB079A">
      <w:pPr>
        <w:jc w:val="both"/>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color w:val="000000" w:themeColor="text1"/>
          <w:kern w:val="0"/>
          <w:sz w:val="20"/>
          <w:szCs w:val="20"/>
          <w:lang w:eastAsia="ru-RU"/>
          <w14:ligatures w14:val="none"/>
        </w:rPr>
        <w:t> </w:t>
      </w:r>
    </w:p>
    <w:tbl>
      <w:tblPr>
        <w:tblW w:w="5000" w:type="pct"/>
        <w:tblCellMar>
          <w:top w:w="15" w:type="dxa"/>
          <w:left w:w="15" w:type="dxa"/>
          <w:bottom w:w="15" w:type="dxa"/>
          <w:right w:w="15" w:type="dxa"/>
        </w:tblCellMar>
        <w:tblLook w:val="04A0" w:firstRow="1" w:lastRow="0" w:firstColumn="1" w:lastColumn="0" w:noHBand="0" w:noVBand="1"/>
      </w:tblPr>
      <w:tblGrid>
        <w:gridCol w:w="4513"/>
        <w:gridCol w:w="4513"/>
      </w:tblGrid>
      <w:tr w:rsidR="00CB079A" w:rsidRPr="00CB079A" w14:paraId="6BD45F71" w14:textId="77777777">
        <w:tc>
          <w:tcPr>
            <w:tcW w:w="2500" w:type="pct"/>
            <w:vAlign w:val="center"/>
            <w:hideMark/>
          </w:tcPr>
          <w:p w14:paraId="04A42C40"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b/>
                <w:bCs/>
                <w:color w:val="000000" w:themeColor="text1"/>
                <w:kern w:val="0"/>
                <w:sz w:val="20"/>
                <w:szCs w:val="20"/>
                <w:lang w:eastAsia="ru-RU"/>
                <w14:ligatures w14:val="none"/>
              </w:rPr>
              <w:t>В. о. директора Департаменту</w:t>
            </w:r>
            <w:r w:rsidRPr="00CB079A">
              <w:rPr>
                <w:rFonts w:ascii="Times New Roman" w:eastAsia="Times New Roman" w:hAnsi="Times New Roman" w:cs="Times New Roman"/>
                <w:b/>
                <w:bCs/>
                <w:color w:val="000000" w:themeColor="text1"/>
                <w:kern w:val="0"/>
                <w:sz w:val="20"/>
                <w:szCs w:val="20"/>
                <w:lang w:eastAsia="ru-RU"/>
                <w14:ligatures w14:val="none"/>
              </w:rPr>
              <w:br/>
              <w:t>забезпечення координаційно-</w:t>
            </w:r>
            <w:r w:rsidRPr="00CB079A">
              <w:rPr>
                <w:rFonts w:ascii="Times New Roman" w:eastAsia="Times New Roman" w:hAnsi="Times New Roman" w:cs="Times New Roman"/>
                <w:b/>
                <w:bCs/>
                <w:color w:val="000000" w:themeColor="text1"/>
                <w:kern w:val="0"/>
                <w:sz w:val="20"/>
                <w:szCs w:val="20"/>
                <w:lang w:eastAsia="ru-RU"/>
                <w14:ligatures w14:val="none"/>
              </w:rPr>
              <w:br/>
              <w:t>моніторингової роботи</w:t>
            </w:r>
          </w:p>
        </w:tc>
        <w:tc>
          <w:tcPr>
            <w:tcW w:w="2500" w:type="pct"/>
            <w:vAlign w:val="center"/>
            <w:hideMark/>
          </w:tcPr>
          <w:p w14:paraId="29423412" w14:textId="77777777" w:rsidR="00CB079A" w:rsidRPr="00CB079A" w:rsidRDefault="00CB079A" w:rsidP="00CB079A">
            <w:pPr>
              <w:jc w:val="center"/>
              <w:rPr>
                <w:rFonts w:ascii="Times New Roman" w:eastAsia="Times New Roman" w:hAnsi="Times New Roman" w:cs="Times New Roman"/>
                <w:color w:val="000000" w:themeColor="text1"/>
                <w:kern w:val="0"/>
                <w:sz w:val="20"/>
                <w:szCs w:val="20"/>
                <w:lang w:eastAsia="ru-RU"/>
                <w14:ligatures w14:val="none"/>
              </w:rPr>
            </w:pPr>
            <w:r w:rsidRPr="00CB079A">
              <w:rPr>
                <w:rFonts w:ascii="Times New Roman" w:eastAsia="Times New Roman" w:hAnsi="Times New Roman" w:cs="Times New Roman"/>
                <w:b/>
                <w:bCs/>
                <w:color w:val="000000" w:themeColor="text1"/>
                <w:kern w:val="0"/>
                <w:sz w:val="20"/>
                <w:szCs w:val="20"/>
                <w:lang w:eastAsia="ru-RU"/>
                <w14:ligatures w14:val="none"/>
              </w:rPr>
              <w:t>Олена ШЕКЕРА</w:t>
            </w:r>
          </w:p>
        </w:tc>
      </w:tr>
    </w:tbl>
    <w:p w14:paraId="4D5E6823" w14:textId="77777777" w:rsidR="00CB079A" w:rsidRPr="00CB079A" w:rsidRDefault="00CB079A" w:rsidP="00CB079A">
      <w:pPr>
        <w:rPr>
          <w:rFonts w:ascii="Times New Roman" w:eastAsia="Times New Roman" w:hAnsi="Times New Roman" w:cs="Times New Roman"/>
          <w:color w:val="000000" w:themeColor="text1"/>
          <w:kern w:val="0"/>
          <w:sz w:val="20"/>
          <w:szCs w:val="20"/>
          <w:lang w:eastAsia="ru-RU"/>
          <w14:ligatures w14:val="none"/>
        </w:rPr>
      </w:pPr>
    </w:p>
    <w:p w14:paraId="1CB50DB5" w14:textId="77777777" w:rsidR="00541FFA" w:rsidRPr="00CB079A" w:rsidRDefault="00541FFA">
      <w:pPr>
        <w:rPr>
          <w:rFonts w:ascii="Times New Roman" w:hAnsi="Times New Roman" w:cs="Times New Roman"/>
          <w:color w:val="000000" w:themeColor="text1"/>
          <w:sz w:val="20"/>
          <w:szCs w:val="20"/>
        </w:rPr>
      </w:pPr>
    </w:p>
    <w:sectPr w:rsidR="00541FFA" w:rsidRPr="00CB07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79A"/>
    <w:rsid w:val="001949B8"/>
    <w:rsid w:val="001B260C"/>
    <w:rsid w:val="00205B9A"/>
    <w:rsid w:val="00541FFA"/>
    <w:rsid w:val="00C61E08"/>
    <w:rsid w:val="00CB079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5A9BF"/>
  <w15:chartTrackingRefBased/>
  <w15:docId w15:val="{9607EEE4-0F0D-0642-A104-C58CAE953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B079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CB079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CB079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B079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B079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B079A"/>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B079A"/>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B079A"/>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B079A"/>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B079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CB079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CB079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B079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B079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B079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B079A"/>
    <w:rPr>
      <w:rFonts w:eastAsiaTheme="majorEastAsia" w:cstheme="majorBidi"/>
      <w:color w:val="595959" w:themeColor="text1" w:themeTint="A6"/>
    </w:rPr>
  </w:style>
  <w:style w:type="character" w:customStyle="1" w:styleId="80">
    <w:name w:val="Заголовок 8 Знак"/>
    <w:basedOn w:val="a0"/>
    <w:link w:val="8"/>
    <w:uiPriority w:val="9"/>
    <w:semiHidden/>
    <w:rsid w:val="00CB079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B079A"/>
    <w:rPr>
      <w:rFonts w:eastAsiaTheme="majorEastAsia" w:cstheme="majorBidi"/>
      <w:color w:val="272727" w:themeColor="text1" w:themeTint="D8"/>
    </w:rPr>
  </w:style>
  <w:style w:type="paragraph" w:styleId="a3">
    <w:name w:val="Title"/>
    <w:basedOn w:val="a"/>
    <w:next w:val="a"/>
    <w:link w:val="a4"/>
    <w:uiPriority w:val="10"/>
    <w:qFormat/>
    <w:rsid w:val="00CB079A"/>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B079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B079A"/>
    <w:pPr>
      <w:numPr>
        <w:ilvl w:val="1"/>
      </w:numPr>
      <w:spacing w:after="16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B079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B079A"/>
    <w:pPr>
      <w:spacing w:before="160" w:after="160"/>
      <w:jc w:val="center"/>
    </w:pPr>
    <w:rPr>
      <w:i/>
      <w:iCs/>
      <w:color w:val="404040" w:themeColor="text1" w:themeTint="BF"/>
    </w:rPr>
  </w:style>
  <w:style w:type="character" w:customStyle="1" w:styleId="22">
    <w:name w:val="Цитата 2 Знак"/>
    <w:basedOn w:val="a0"/>
    <w:link w:val="21"/>
    <w:uiPriority w:val="29"/>
    <w:rsid w:val="00CB079A"/>
    <w:rPr>
      <w:i/>
      <w:iCs/>
      <w:color w:val="404040" w:themeColor="text1" w:themeTint="BF"/>
    </w:rPr>
  </w:style>
  <w:style w:type="paragraph" w:styleId="a7">
    <w:name w:val="List Paragraph"/>
    <w:basedOn w:val="a"/>
    <w:uiPriority w:val="34"/>
    <w:qFormat/>
    <w:rsid w:val="00CB079A"/>
    <w:pPr>
      <w:ind w:left="720"/>
      <w:contextualSpacing/>
    </w:pPr>
  </w:style>
  <w:style w:type="character" w:styleId="a8">
    <w:name w:val="Intense Emphasis"/>
    <w:basedOn w:val="a0"/>
    <w:uiPriority w:val="21"/>
    <w:qFormat/>
    <w:rsid w:val="00CB079A"/>
    <w:rPr>
      <w:i/>
      <w:iCs/>
      <w:color w:val="2F5496" w:themeColor="accent1" w:themeShade="BF"/>
    </w:rPr>
  </w:style>
  <w:style w:type="paragraph" w:styleId="a9">
    <w:name w:val="Intense Quote"/>
    <w:basedOn w:val="a"/>
    <w:next w:val="a"/>
    <w:link w:val="aa"/>
    <w:uiPriority w:val="30"/>
    <w:qFormat/>
    <w:rsid w:val="00CB07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CB079A"/>
    <w:rPr>
      <w:i/>
      <w:iCs/>
      <w:color w:val="2F5496" w:themeColor="accent1" w:themeShade="BF"/>
    </w:rPr>
  </w:style>
  <w:style w:type="character" w:styleId="ab">
    <w:name w:val="Intense Reference"/>
    <w:basedOn w:val="a0"/>
    <w:uiPriority w:val="32"/>
    <w:qFormat/>
    <w:rsid w:val="00CB079A"/>
    <w:rPr>
      <w:b/>
      <w:bCs/>
      <w:smallCaps/>
      <w:color w:val="2F5496" w:themeColor="accent1" w:themeShade="BF"/>
      <w:spacing w:val="5"/>
    </w:rPr>
  </w:style>
  <w:style w:type="paragraph" w:customStyle="1" w:styleId="tc">
    <w:name w:val="tc"/>
    <w:basedOn w:val="a"/>
    <w:rsid w:val="00CB079A"/>
    <w:pPr>
      <w:spacing w:before="100" w:beforeAutospacing="1" w:after="100" w:afterAutospacing="1"/>
    </w:pPr>
    <w:rPr>
      <w:rFonts w:ascii="Times New Roman" w:eastAsia="Times New Roman" w:hAnsi="Times New Roman" w:cs="Times New Roman"/>
      <w:kern w:val="0"/>
      <w:lang w:eastAsia="ru-RU"/>
      <w14:ligatures w14:val="none"/>
    </w:rPr>
  </w:style>
  <w:style w:type="paragraph" w:customStyle="1" w:styleId="tj">
    <w:name w:val="tj"/>
    <w:basedOn w:val="a"/>
    <w:rsid w:val="00CB079A"/>
    <w:pPr>
      <w:spacing w:before="100" w:beforeAutospacing="1" w:after="100" w:afterAutospacing="1"/>
    </w:pPr>
    <w:rPr>
      <w:rFonts w:ascii="Times New Roman" w:eastAsia="Times New Roman" w:hAnsi="Times New Roman" w:cs="Times New Roman"/>
      <w:kern w:val="0"/>
      <w:lang w:eastAsia="ru-RU"/>
      <w14:ligatures w14:val="none"/>
    </w:rPr>
  </w:style>
  <w:style w:type="character" w:customStyle="1" w:styleId="hard-blue-color">
    <w:name w:val="hard-blue-color"/>
    <w:basedOn w:val="a0"/>
    <w:rsid w:val="00CB079A"/>
  </w:style>
  <w:style w:type="paragraph" w:customStyle="1" w:styleId="tl">
    <w:name w:val="tl"/>
    <w:basedOn w:val="a"/>
    <w:rsid w:val="00CB079A"/>
    <w:pPr>
      <w:spacing w:before="100" w:beforeAutospacing="1" w:after="100" w:afterAutospacing="1"/>
    </w:pPr>
    <w:rPr>
      <w:rFonts w:ascii="Times New Roman" w:eastAsia="Times New Roman" w:hAnsi="Times New Roman" w:cs="Times New Roman"/>
      <w:kern w:val="0"/>
      <w:lang w:eastAsia="ru-RU"/>
      <w14:ligatures w14:val="none"/>
    </w:rPr>
  </w:style>
  <w:style w:type="paragraph" w:customStyle="1" w:styleId="tr">
    <w:name w:val="tr"/>
    <w:basedOn w:val="a"/>
    <w:rsid w:val="00CB079A"/>
    <w:pPr>
      <w:spacing w:before="100" w:beforeAutospacing="1" w:after="100" w:afterAutospacing="1"/>
    </w:pPr>
    <w:rPr>
      <w:rFonts w:ascii="Times New Roman" w:eastAsia="Times New Roman" w:hAnsi="Times New Roman" w:cs="Times New Roman"/>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RE39584?ed=2023_03_29&amp;an=231" TargetMode="External"/><Relationship Id="rId3" Type="http://schemas.openxmlformats.org/officeDocument/2006/relationships/webSettings" Target="webSettings.xml"/><Relationship Id="rId7" Type="http://schemas.openxmlformats.org/officeDocument/2006/relationships/hyperlink" Target="https://zakon-pro.ligazakon.net/document/RE39584?ed=2023_03_29&amp;an=23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o.ligazakon.net/document/KP140375?ed=2025_05_09&amp;an=29" TargetMode="External"/><Relationship Id="rId11" Type="http://schemas.openxmlformats.org/officeDocument/2006/relationships/theme" Target="theme/theme1.xml"/><Relationship Id="rId5" Type="http://schemas.openxmlformats.org/officeDocument/2006/relationships/hyperlink" Target="https://zakon-pro.ligazakon.net/document/T211591?ed=2026_06_26" TargetMode="External"/><Relationship Id="rId10" Type="http://schemas.openxmlformats.org/officeDocument/2006/relationships/fontTable" Target="fontTable.xml"/><Relationship Id="rId4" Type="http://schemas.openxmlformats.org/officeDocument/2006/relationships/hyperlink" Target="https://zakon-pro.ligazakon.net/document/T10_2755?ed=2026_09_03" TargetMode="External"/><Relationship Id="rId9" Type="http://schemas.openxmlformats.org/officeDocument/2006/relationships/hyperlink" Target="https://zakon-pro.ligazakon.net/document/T10_2755?ed=2026_09_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1430</Words>
  <Characters>8152</Characters>
  <Application>Microsoft Office Word</Application>
  <DocSecurity>0</DocSecurity>
  <Lines>67</Lines>
  <Paragraphs>19</Paragraphs>
  <ScaleCrop>false</ScaleCrop>
  <Company/>
  <LinksUpToDate>false</LinksUpToDate>
  <CharactersWithSpaces>9563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Debet-Kredit</dc:creator>
  <cp:keywords/>
  <dc:description/>
  <cp:lastModifiedBy>Debet-Kredit</cp:lastModifiedBy>
  <cp:revision>2</cp:revision>
  <dcterms:created xsi:type="dcterms:W3CDTF">2026-11-04T16:52:00Z</dcterms:created>
  <dcterms:modified xsi:type="dcterms:W3CDTF">2026-11-04T17:29:00Z</dcterms:modified>
</cp:coreProperties>
</file>