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A0" w:rsidRDefault="00F079A0">
      <w:pPr>
        <w:rPr>
          <w:lang w:val="uk-UA"/>
        </w:rPr>
      </w:pPr>
      <w:r>
        <w:rPr>
          <w:lang w:val="uk-UA"/>
        </w:rPr>
        <w:t xml:space="preserve">Таблиця критеріїв визначення рівня епідемічної небезпеки </w:t>
      </w:r>
    </w:p>
    <w:p w:rsidR="00F079A0" w:rsidRDefault="00F079A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79A0" w:rsidRPr="001B2C08" w:rsidTr="00F079A0">
        <w:tc>
          <w:tcPr>
            <w:tcW w:w="3190" w:type="dxa"/>
          </w:tcPr>
          <w:p w:rsidR="00F079A0" w:rsidRPr="001B2C08" w:rsidRDefault="00F079A0">
            <w:pPr>
              <w:rPr>
                <w:b/>
                <w:lang w:val="uk-UA"/>
              </w:rPr>
            </w:pPr>
            <w:r w:rsidRPr="001B2C08">
              <w:rPr>
                <w:b/>
                <w:lang w:val="uk-UA"/>
              </w:rPr>
              <w:t>Рівень</w:t>
            </w:r>
          </w:p>
        </w:tc>
        <w:tc>
          <w:tcPr>
            <w:tcW w:w="3190" w:type="dxa"/>
          </w:tcPr>
          <w:p w:rsidR="00F079A0" w:rsidRPr="001B2C08" w:rsidRDefault="00F079A0">
            <w:pPr>
              <w:rPr>
                <w:b/>
                <w:lang w:val="uk-UA"/>
              </w:rPr>
            </w:pPr>
            <w:r w:rsidRPr="001B2C08">
              <w:rPr>
                <w:b/>
                <w:lang w:val="uk-UA"/>
              </w:rPr>
              <w:t>Критерії</w:t>
            </w:r>
          </w:p>
        </w:tc>
        <w:tc>
          <w:tcPr>
            <w:tcW w:w="3191" w:type="dxa"/>
          </w:tcPr>
          <w:p w:rsidR="00F079A0" w:rsidRPr="001B2C08" w:rsidRDefault="00F079A0">
            <w:pPr>
              <w:rPr>
                <w:b/>
                <w:lang w:val="uk-UA"/>
              </w:rPr>
            </w:pPr>
            <w:r w:rsidRPr="001B2C08">
              <w:rPr>
                <w:b/>
                <w:lang w:val="uk-UA"/>
              </w:rPr>
              <w:t>Наслідки</w:t>
            </w:r>
          </w:p>
        </w:tc>
      </w:tr>
      <w:tr w:rsidR="00F079A0" w:rsidRPr="001B2C08" w:rsidTr="00C64566">
        <w:tc>
          <w:tcPr>
            <w:tcW w:w="9571" w:type="dxa"/>
            <w:gridSpan w:val="3"/>
          </w:tcPr>
          <w:p w:rsidR="00F079A0" w:rsidRPr="001B2C08" w:rsidRDefault="00F079A0" w:rsidP="00F079A0">
            <w:pPr>
              <w:rPr>
                <w:b/>
                <w:lang w:val="uk-UA"/>
              </w:rPr>
            </w:pPr>
            <w:r w:rsidRPr="001B2C08">
              <w:rPr>
                <w:b/>
                <w:lang w:val="uk-UA"/>
              </w:rPr>
              <w:t>В межах України щодо її регіонів</w:t>
            </w:r>
          </w:p>
        </w:tc>
      </w:tr>
      <w:tr w:rsidR="001B2C08" w:rsidTr="00F079A0">
        <w:tc>
          <w:tcPr>
            <w:tcW w:w="3190" w:type="dxa"/>
          </w:tcPr>
          <w:p w:rsidR="001B2C08" w:rsidRDefault="001B2C08" w:rsidP="00F079A0">
            <w:pPr>
              <w:rPr>
                <w:lang w:val="uk-UA"/>
              </w:rPr>
            </w:pPr>
            <w:r w:rsidRPr="00F079A0">
              <w:rPr>
                <w:lang w:val="uk-UA"/>
              </w:rPr>
              <w:t>Регіон із значним поширенням COVID-19</w:t>
            </w:r>
          </w:p>
        </w:tc>
        <w:tc>
          <w:tcPr>
            <w:tcW w:w="3190" w:type="dxa"/>
          </w:tcPr>
          <w:p w:rsidR="001B2C08" w:rsidRPr="00F079A0" w:rsidRDefault="001B2C08" w:rsidP="00F079A0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079A0">
              <w:rPr>
                <w:lang w:val="uk-UA"/>
              </w:rPr>
              <w:t>авантаженість ліжок у закладах охорони здоров’я, визначених для госпіталізації пацієнтів з підтвердженим випадком COVID-19, становить більш як 50 відсотків;</w:t>
            </w:r>
          </w:p>
          <w:p w:rsidR="001B2C08" w:rsidRPr="00F079A0" w:rsidRDefault="001B2C08" w:rsidP="00F079A0">
            <w:pPr>
              <w:rPr>
                <w:lang w:val="uk-UA"/>
              </w:rPr>
            </w:pPr>
          </w:p>
          <w:p w:rsidR="001B2C08" w:rsidRPr="00F079A0" w:rsidRDefault="001B2C08" w:rsidP="00F079A0">
            <w:pPr>
              <w:rPr>
                <w:lang w:val="uk-UA"/>
              </w:rPr>
            </w:pPr>
            <w:r w:rsidRPr="00F079A0">
              <w:rPr>
                <w:lang w:val="uk-UA"/>
              </w:rPr>
              <w:t xml:space="preserve">середня кількість тестувань методом </w:t>
            </w:r>
            <w:proofErr w:type="spellStart"/>
            <w:r w:rsidRPr="00F079A0">
              <w:rPr>
                <w:lang w:val="uk-UA"/>
              </w:rPr>
              <w:t>полімеразної</w:t>
            </w:r>
            <w:proofErr w:type="spellEnd"/>
            <w:r w:rsidRPr="00F079A0">
              <w:rPr>
                <w:lang w:val="uk-UA"/>
              </w:rPr>
              <w:t xml:space="preserve"> ланцюгової реакції та </w:t>
            </w:r>
            <w:proofErr w:type="spellStart"/>
            <w:r w:rsidRPr="00F079A0">
              <w:rPr>
                <w:lang w:val="uk-UA"/>
              </w:rPr>
              <w:t>імуноферментного</w:t>
            </w:r>
            <w:proofErr w:type="spellEnd"/>
            <w:r w:rsidRPr="00F079A0">
              <w:rPr>
                <w:lang w:val="uk-UA"/>
              </w:rPr>
              <w:t xml:space="preserve"> аналізу становить менше ніж 24 тестування на 100 тис. населення протягом останніх </w:t>
            </w:r>
            <w:r>
              <w:rPr>
                <w:lang w:val="uk-UA"/>
              </w:rPr>
              <w:t>7</w:t>
            </w:r>
            <w:r w:rsidRPr="00F079A0">
              <w:rPr>
                <w:lang w:val="uk-UA"/>
              </w:rPr>
              <w:t xml:space="preserve"> днів;</w:t>
            </w:r>
          </w:p>
          <w:p w:rsidR="001B2C08" w:rsidRPr="00F079A0" w:rsidRDefault="001B2C08" w:rsidP="00F079A0">
            <w:pPr>
              <w:rPr>
                <w:lang w:val="uk-UA"/>
              </w:rPr>
            </w:pPr>
          </w:p>
          <w:p w:rsidR="001B2C08" w:rsidRDefault="001B2C08" w:rsidP="00F079A0">
            <w:pPr>
              <w:rPr>
                <w:lang w:val="uk-UA"/>
              </w:rPr>
            </w:pPr>
            <w:r w:rsidRPr="00F079A0">
              <w:rPr>
                <w:lang w:val="uk-UA"/>
              </w:rPr>
              <w:t>коефіцієнт виявлення випадків інфікування COVID-19 с</w:t>
            </w:r>
            <w:r>
              <w:rPr>
                <w:lang w:val="uk-UA"/>
              </w:rPr>
              <w:t>тановить більш як 11 відсотків;</w:t>
            </w:r>
          </w:p>
          <w:p w:rsidR="001B2C08" w:rsidRPr="00F079A0" w:rsidRDefault="001B2C08" w:rsidP="00F079A0">
            <w:pPr>
              <w:rPr>
                <w:lang w:val="uk-UA"/>
              </w:rPr>
            </w:pPr>
          </w:p>
          <w:p w:rsidR="001B2C08" w:rsidRDefault="001B2C08" w:rsidP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показник динаміки зростання випадків інфікування COVID-19 становить більш як 10 відсотків</w:t>
            </w:r>
            <w:r>
              <w:rPr>
                <w:lang w:val="uk-UA"/>
              </w:rPr>
              <w:t xml:space="preserve"> – цей показник застосовується </w:t>
            </w:r>
            <w:r w:rsidRPr="00F079A0">
              <w:rPr>
                <w:lang w:val="uk-UA"/>
              </w:rPr>
              <w:t xml:space="preserve"> у разі реєстрації більше </w:t>
            </w:r>
            <w:r>
              <w:rPr>
                <w:lang w:val="uk-UA"/>
              </w:rPr>
              <w:t>8</w:t>
            </w:r>
            <w:r w:rsidRPr="00F079A0">
              <w:rPr>
                <w:lang w:val="uk-UA"/>
              </w:rPr>
              <w:t xml:space="preserve"> випадків на 100 тис. населе</w:t>
            </w:r>
            <w:r>
              <w:rPr>
                <w:lang w:val="uk-UA"/>
              </w:rPr>
              <w:t>ння сумарно за останні 7 днів</w:t>
            </w:r>
          </w:p>
        </w:tc>
        <w:tc>
          <w:tcPr>
            <w:tcW w:w="3191" w:type="dxa"/>
            <w:vMerge w:val="restart"/>
          </w:tcPr>
          <w:p w:rsidR="001B2C08" w:rsidRPr="00F079A0" w:rsidRDefault="001B2C08" w:rsidP="00F079A0">
            <w:pPr>
              <w:rPr>
                <w:lang w:val="uk-UA"/>
              </w:rPr>
            </w:pPr>
            <w:r w:rsidRPr="00F079A0">
              <w:rPr>
                <w:lang w:val="uk-UA"/>
              </w:rPr>
              <w:t xml:space="preserve">У разі відповідності регіону за ознаками регіону із значним поширенням COVID-19 більше ніж </w:t>
            </w:r>
            <w:r>
              <w:rPr>
                <w:lang w:val="uk-UA"/>
              </w:rPr>
              <w:t>5</w:t>
            </w:r>
            <w:r w:rsidRPr="00F079A0">
              <w:rPr>
                <w:lang w:val="uk-UA"/>
              </w:rPr>
              <w:t xml:space="preserve"> днів підряд Державна комісія з питань техногенно-екологічної безпеки та надзвичайних ситуацій збирається позачергово та приймає рішення про зміну рівня епідемічної небезпеки на території регіону або окремих адміністративно-територіальних одиниць регіону з урахуванням результатів оцінки епідемічної ситуації та положень </w:t>
            </w:r>
            <w:r>
              <w:rPr>
                <w:lang w:val="uk-UA"/>
              </w:rPr>
              <w:t>Постанови № 641</w:t>
            </w:r>
          </w:p>
          <w:p w:rsidR="001B2C08" w:rsidRPr="00F079A0" w:rsidRDefault="001B2C08" w:rsidP="00F079A0">
            <w:pPr>
              <w:rPr>
                <w:lang w:val="uk-UA"/>
              </w:rPr>
            </w:pPr>
          </w:p>
          <w:p w:rsidR="001B2C08" w:rsidRDefault="001B2C08" w:rsidP="00F079A0">
            <w:pPr>
              <w:rPr>
                <w:lang w:val="uk-UA"/>
              </w:rPr>
            </w:pPr>
          </w:p>
        </w:tc>
      </w:tr>
      <w:tr w:rsidR="001B2C08" w:rsidTr="00F079A0">
        <w:tc>
          <w:tcPr>
            <w:tcW w:w="3190" w:type="dxa"/>
          </w:tcPr>
          <w:p w:rsidR="001B2C08" w:rsidRPr="00F079A0" w:rsidRDefault="001B2C08">
            <w:pPr>
              <w:rPr>
                <w:lang w:val="uk-UA"/>
              </w:rPr>
            </w:pPr>
            <w:r w:rsidRPr="001B2C08">
              <w:rPr>
                <w:lang w:val="uk-UA"/>
              </w:rPr>
              <w:t>“зелений”</w:t>
            </w:r>
          </w:p>
        </w:tc>
        <w:tc>
          <w:tcPr>
            <w:tcW w:w="3190" w:type="dxa"/>
          </w:tcPr>
          <w:p w:rsidR="001B2C08" w:rsidRPr="00F079A0" w:rsidRDefault="001B2C08" w:rsidP="001B2C08">
            <w:pPr>
              <w:rPr>
                <w:lang w:val="uk-UA"/>
              </w:rPr>
            </w:pPr>
            <w:r w:rsidRPr="001B2C08">
              <w:rPr>
                <w:lang w:val="uk-UA"/>
              </w:rPr>
              <w:t xml:space="preserve">в разі відсутності ознак регіону із значним поширенням COVID-19 більше ніж </w:t>
            </w:r>
            <w:r>
              <w:rPr>
                <w:lang w:val="uk-UA"/>
              </w:rPr>
              <w:t xml:space="preserve"> 3</w:t>
            </w:r>
            <w:r w:rsidRPr="001B2C08">
              <w:rPr>
                <w:lang w:val="uk-UA"/>
              </w:rPr>
              <w:t xml:space="preserve"> дні підряд</w:t>
            </w:r>
          </w:p>
        </w:tc>
        <w:tc>
          <w:tcPr>
            <w:tcW w:w="3191" w:type="dxa"/>
            <w:vMerge/>
          </w:tcPr>
          <w:p w:rsidR="001B2C08" w:rsidRDefault="001B2C08">
            <w:pPr>
              <w:rPr>
                <w:lang w:val="uk-UA"/>
              </w:rPr>
            </w:pPr>
          </w:p>
        </w:tc>
      </w:tr>
      <w:tr w:rsidR="001B2C08" w:rsidTr="00F079A0"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“жовтий”</w:t>
            </w:r>
          </w:p>
        </w:tc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у разі завантаженості більш як 50 відсотків кількості ліжок</w:t>
            </w:r>
          </w:p>
        </w:tc>
        <w:tc>
          <w:tcPr>
            <w:tcW w:w="3191" w:type="dxa"/>
            <w:vMerge/>
          </w:tcPr>
          <w:p w:rsidR="001B2C08" w:rsidRDefault="001B2C08">
            <w:pPr>
              <w:rPr>
                <w:lang w:val="uk-UA"/>
              </w:rPr>
            </w:pPr>
          </w:p>
        </w:tc>
      </w:tr>
      <w:tr w:rsidR="001B2C08" w:rsidTr="00F079A0"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“червоний”</w:t>
            </w:r>
          </w:p>
        </w:tc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у разі завантаженості більш як 75 відсотків кількості ліжок</w:t>
            </w:r>
          </w:p>
        </w:tc>
        <w:tc>
          <w:tcPr>
            <w:tcW w:w="3191" w:type="dxa"/>
            <w:vMerge/>
          </w:tcPr>
          <w:p w:rsidR="001B2C08" w:rsidRDefault="001B2C08">
            <w:pPr>
              <w:rPr>
                <w:lang w:val="uk-UA"/>
              </w:rPr>
            </w:pPr>
          </w:p>
        </w:tc>
      </w:tr>
      <w:tr w:rsidR="00F079A0" w:rsidRPr="001B2C08" w:rsidTr="007F074E">
        <w:tc>
          <w:tcPr>
            <w:tcW w:w="9571" w:type="dxa"/>
            <w:gridSpan w:val="3"/>
          </w:tcPr>
          <w:p w:rsidR="00F079A0" w:rsidRPr="001B2C08" w:rsidRDefault="00F079A0">
            <w:pPr>
              <w:rPr>
                <w:b/>
                <w:lang w:val="uk-UA"/>
              </w:rPr>
            </w:pPr>
            <w:r w:rsidRPr="001B2C08">
              <w:rPr>
                <w:b/>
                <w:lang w:val="uk-UA"/>
              </w:rPr>
              <w:t>В межах регіонів України щодо адміністративно-територіальних одиниць, з урахуванням внеску (частки) окремої одиниці в перевищення кожного окремого показника на рівні регіону</w:t>
            </w:r>
            <w:r w:rsidR="001B2C08" w:rsidRPr="001B2C08">
              <w:rPr>
                <w:b/>
                <w:lang w:val="uk-UA"/>
              </w:rPr>
              <w:t>*</w:t>
            </w:r>
          </w:p>
        </w:tc>
      </w:tr>
      <w:tr w:rsidR="001B2C08" w:rsidTr="00F079A0"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“зелений”</w:t>
            </w:r>
          </w:p>
        </w:tc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до 5 відсотків</w:t>
            </w:r>
          </w:p>
        </w:tc>
        <w:tc>
          <w:tcPr>
            <w:tcW w:w="3191" w:type="dxa"/>
            <w:vMerge w:val="restart"/>
          </w:tcPr>
          <w:p w:rsidR="001B2C08" w:rsidRDefault="001B2C08" w:rsidP="001B2C08">
            <w:pPr>
              <w:rPr>
                <w:lang w:val="uk-UA"/>
              </w:rPr>
            </w:pPr>
            <w:r w:rsidRPr="001B2C08">
              <w:rPr>
                <w:lang w:val="uk-UA"/>
              </w:rPr>
              <w:t xml:space="preserve">Державна комісія з питань техногенно-екологічної безпеки та надзвичайних ситуацій переглядає рішення про зміну рівня епідемічної небезпеки на території регіону або окремих адміністративно-територіальних одиницях регіону із “жовтим”, “помаранчевим” або “червоним” рівнем епідемічної </w:t>
            </w:r>
            <w:r w:rsidRPr="001B2C08">
              <w:rPr>
                <w:lang w:val="uk-UA"/>
              </w:rPr>
              <w:lastRenderedPageBreak/>
              <w:t xml:space="preserve">небезпеки не частіше ніж один раз на </w:t>
            </w:r>
            <w:r>
              <w:rPr>
                <w:lang w:val="uk-UA"/>
              </w:rPr>
              <w:t>5</w:t>
            </w:r>
            <w:r w:rsidRPr="001B2C08">
              <w:rPr>
                <w:lang w:val="uk-UA"/>
              </w:rPr>
              <w:t xml:space="preserve"> днів.</w:t>
            </w:r>
          </w:p>
        </w:tc>
      </w:tr>
      <w:tr w:rsidR="001B2C08" w:rsidTr="00F079A0"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“жовтий”</w:t>
            </w:r>
          </w:p>
        </w:tc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від 5 до 20 відсотків</w:t>
            </w:r>
          </w:p>
        </w:tc>
        <w:tc>
          <w:tcPr>
            <w:tcW w:w="3191" w:type="dxa"/>
            <w:vMerge/>
          </w:tcPr>
          <w:p w:rsidR="001B2C08" w:rsidRDefault="001B2C08">
            <w:pPr>
              <w:rPr>
                <w:lang w:val="uk-UA"/>
              </w:rPr>
            </w:pPr>
          </w:p>
        </w:tc>
      </w:tr>
      <w:tr w:rsidR="001B2C08" w:rsidTr="00F079A0"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“помаранчевий”</w:t>
            </w:r>
          </w:p>
        </w:tc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від 20 до 50 відсотків</w:t>
            </w:r>
          </w:p>
        </w:tc>
        <w:tc>
          <w:tcPr>
            <w:tcW w:w="3191" w:type="dxa"/>
            <w:vMerge/>
          </w:tcPr>
          <w:p w:rsidR="001B2C08" w:rsidRDefault="001B2C08">
            <w:pPr>
              <w:rPr>
                <w:lang w:val="uk-UA"/>
              </w:rPr>
            </w:pPr>
          </w:p>
        </w:tc>
      </w:tr>
      <w:tr w:rsidR="001B2C08" w:rsidTr="00F079A0"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“червоний”</w:t>
            </w:r>
          </w:p>
        </w:tc>
        <w:tc>
          <w:tcPr>
            <w:tcW w:w="3190" w:type="dxa"/>
          </w:tcPr>
          <w:p w:rsidR="001B2C08" w:rsidRDefault="001B2C08">
            <w:pPr>
              <w:rPr>
                <w:lang w:val="uk-UA"/>
              </w:rPr>
            </w:pPr>
            <w:r w:rsidRPr="00F079A0">
              <w:rPr>
                <w:lang w:val="uk-UA"/>
              </w:rPr>
              <w:t>понад 50 відсотків</w:t>
            </w:r>
          </w:p>
        </w:tc>
        <w:tc>
          <w:tcPr>
            <w:tcW w:w="3191" w:type="dxa"/>
            <w:vMerge/>
          </w:tcPr>
          <w:p w:rsidR="001B2C08" w:rsidRDefault="001B2C08">
            <w:pPr>
              <w:rPr>
                <w:lang w:val="uk-UA"/>
              </w:rPr>
            </w:pPr>
          </w:p>
        </w:tc>
      </w:tr>
      <w:tr w:rsidR="001B2C08" w:rsidTr="00046BCD">
        <w:tc>
          <w:tcPr>
            <w:tcW w:w="9571" w:type="dxa"/>
            <w:gridSpan w:val="3"/>
          </w:tcPr>
          <w:p w:rsidR="001B2C08" w:rsidRDefault="001B2C08" w:rsidP="001B2C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*</w:t>
            </w:r>
            <w:r w:rsidRPr="001B2C08">
              <w:rPr>
                <w:lang w:val="uk-UA"/>
              </w:rPr>
              <w:t xml:space="preserve">Для розрахунку внеску (частки) використовуються показники </w:t>
            </w:r>
            <w:r w:rsidRPr="001B2C08">
              <w:rPr>
                <w:b/>
                <w:lang w:val="uk-UA"/>
              </w:rPr>
              <w:t>коефіцієнта виявлення випадків інфікування</w:t>
            </w:r>
            <w:r w:rsidRPr="001B2C08">
              <w:rPr>
                <w:lang w:val="uk-UA"/>
              </w:rPr>
              <w:t xml:space="preserve"> COVID-19 та </w:t>
            </w:r>
            <w:r w:rsidRPr="001B2C08">
              <w:rPr>
                <w:b/>
                <w:lang w:val="uk-UA"/>
              </w:rPr>
              <w:t>динаміки зростання випадків інфікування</w:t>
            </w:r>
            <w:r w:rsidRPr="001B2C08">
              <w:rPr>
                <w:lang w:val="uk-UA"/>
              </w:rPr>
              <w:t xml:space="preserve"> COVID-19.</w:t>
            </w:r>
            <w:r>
              <w:rPr>
                <w:lang w:val="uk-UA"/>
              </w:rPr>
              <w:t xml:space="preserve">  </w:t>
            </w:r>
            <w:r w:rsidRPr="001B2C08">
              <w:rPr>
                <w:lang w:val="uk-UA"/>
              </w:rPr>
              <w:t xml:space="preserve">Показник внеску (частки) району або міст обласного значення застосовується, якщо перевищення в регіоні відповідного показника становить більше ніж </w:t>
            </w:r>
            <w:r>
              <w:rPr>
                <w:lang w:val="uk-UA"/>
              </w:rPr>
              <w:t>2</w:t>
            </w:r>
            <w:r w:rsidRPr="001B2C08">
              <w:rPr>
                <w:lang w:val="uk-UA"/>
              </w:rPr>
              <w:t xml:space="preserve"> особи на 100 тис. населення.</w:t>
            </w:r>
            <w:r>
              <w:rPr>
                <w:lang w:val="uk-UA"/>
              </w:rPr>
              <w:t xml:space="preserve"> </w:t>
            </w:r>
            <w:r w:rsidRPr="001B2C08">
              <w:rPr>
                <w:lang w:val="uk-UA"/>
              </w:rPr>
              <w:t xml:space="preserve">У разі </w:t>
            </w:r>
            <w:r w:rsidRPr="001B2C08">
              <w:rPr>
                <w:b/>
                <w:lang w:val="uk-UA"/>
              </w:rPr>
              <w:t>одночасного перевищення декількох показників</w:t>
            </w:r>
            <w:r w:rsidRPr="001B2C08">
              <w:rPr>
                <w:lang w:val="uk-UA"/>
              </w:rPr>
              <w:t xml:space="preserve"> рівень епідемічної небезпеки для окремої адміністративно-територіальної одиниці розраховується окремо для кожного показника та встановлюється на підставі </w:t>
            </w:r>
            <w:r w:rsidRPr="001B2C08">
              <w:rPr>
                <w:b/>
                <w:lang w:val="uk-UA"/>
              </w:rPr>
              <w:t>найвищого рівня</w:t>
            </w:r>
          </w:p>
        </w:tc>
      </w:tr>
      <w:tr w:rsidR="001B2C08" w:rsidRPr="001B2C08" w:rsidTr="00D71152">
        <w:tc>
          <w:tcPr>
            <w:tcW w:w="9571" w:type="dxa"/>
            <w:gridSpan w:val="3"/>
          </w:tcPr>
          <w:p w:rsidR="001B2C08" w:rsidRPr="001B2C08" w:rsidRDefault="001B2C08">
            <w:pPr>
              <w:rPr>
                <w:b/>
                <w:lang w:val="uk-UA"/>
              </w:rPr>
            </w:pPr>
            <w:r w:rsidRPr="001B2C08">
              <w:rPr>
                <w:b/>
                <w:lang w:val="uk-UA"/>
              </w:rPr>
              <w:t>Місця спільного проживання, спільного навчання тощо</w:t>
            </w:r>
          </w:p>
        </w:tc>
      </w:tr>
      <w:tr w:rsidR="001B2C08" w:rsidTr="00C37743">
        <w:tc>
          <w:tcPr>
            <w:tcW w:w="9571" w:type="dxa"/>
            <w:gridSpan w:val="3"/>
          </w:tcPr>
          <w:p w:rsidR="001B2C08" w:rsidRDefault="001B2C08">
            <w:pPr>
              <w:rPr>
                <w:lang w:val="uk-UA"/>
              </w:rPr>
            </w:pPr>
            <w:r w:rsidRPr="001B2C08">
              <w:rPr>
                <w:lang w:val="uk-UA"/>
              </w:rPr>
              <w:t xml:space="preserve">У разі виникнення спалаху захворювання внаслідок реєстрації </w:t>
            </w:r>
            <w:proofErr w:type="spellStart"/>
            <w:r w:rsidRPr="001B2C08">
              <w:rPr>
                <w:lang w:val="uk-UA"/>
              </w:rPr>
              <w:t>епідемічно</w:t>
            </w:r>
            <w:proofErr w:type="spellEnd"/>
            <w:r w:rsidRPr="001B2C08">
              <w:rPr>
                <w:lang w:val="uk-UA"/>
              </w:rPr>
              <w:t xml:space="preserve"> пов’язаних між собою випадків (в місцях спільного проживання, спільного навчання тощо) рішення щодо встановлення рівня епідемічної небезпеки приймається з урахуванням епідемічної доцільності.</w:t>
            </w:r>
          </w:p>
        </w:tc>
      </w:tr>
      <w:tr w:rsidR="00031D21" w:rsidRPr="00031D21" w:rsidTr="008C4B62">
        <w:tc>
          <w:tcPr>
            <w:tcW w:w="9571" w:type="dxa"/>
            <w:gridSpan w:val="3"/>
          </w:tcPr>
          <w:p w:rsidR="00031D21" w:rsidRPr="00031D21" w:rsidRDefault="00031D21" w:rsidP="00031D21">
            <w:pPr>
              <w:rPr>
                <w:b/>
                <w:lang w:val="uk-UA"/>
              </w:rPr>
            </w:pPr>
            <w:r w:rsidRPr="00031D21">
              <w:rPr>
                <w:b/>
                <w:lang w:val="uk-UA"/>
              </w:rPr>
              <w:t>Держава із значним поширенням COVID-19</w:t>
            </w:r>
          </w:p>
        </w:tc>
      </w:tr>
      <w:tr w:rsidR="00031D21" w:rsidTr="009200F1">
        <w:tc>
          <w:tcPr>
            <w:tcW w:w="3190" w:type="dxa"/>
          </w:tcPr>
          <w:p w:rsidR="00031D21" w:rsidRDefault="00031D21" w:rsidP="00031D21">
            <w:pPr>
              <w:rPr>
                <w:lang w:val="uk-UA"/>
              </w:rPr>
            </w:pPr>
            <w:r w:rsidRPr="00031D21">
              <w:rPr>
                <w:lang w:val="uk-UA"/>
              </w:rPr>
              <w:t>Держав</w:t>
            </w:r>
            <w:r>
              <w:rPr>
                <w:lang w:val="uk-UA"/>
              </w:rPr>
              <w:t>а</w:t>
            </w:r>
            <w:r w:rsidRPr="00031D21">
              <w:rPr>
                <w:lang w:val="uk-UA"/>
              </w:rPr>
              <w:t xml:space="preserve"> із значним поширенням COVID-19</w:t>
            </w:r>
          </w:p>
        </w:tc>
        <w:tc>
          <w:tcPr>
            <w:tcW w:w="3190" w:type="dxa"/>
          </w:tcPr>
          <w:p w:rsidR="00031D21" w:rsidRPr="00031D21" w:rsidRDefault="00031D21" w:rsidP="00031D21">
            <w:pPr>
              <w:rPr>
                <w:lang w:val="uk-UA"/>
              </w:rPr>
            </w:pPr>
            <w:r w:rsidRPr="00031D21">
              <w:rPr>
                <w:lang w:val="uk-UA"/>
              </w:rPr>
              <w:t>кількість нових випадків реєстрації хвороби COVID-19 на 100 тис. населення за останні 14 днів перевищує кількість таких випадків в Україні;</w:t>
            </w:r>
          </w:p>
          <w:p w:rsidR="00031D21" w:rsidRPr="00031D21" w:rsidRDefault="00031D21" w:rsidP="00031D21">
            <w:pPr>
              <w:rPr>
                <w:lang w:val="uk-UA"/>
              </w:rPr>
            </w:pPr>
          </w:p>
          <w:p w:rsidR="00031D21" w:rsidRDefault="00031D21" w:rsidP="00031D21">
            <w:pPr>
              <w:rPr>
                <w:lang w:val="uk-UA"/>
              </w:rPr>
            </w:pPr>
            <w:r w:rsidRPr="00031D21">
              <w:rPr>
                <w:lang w:val="uk-UA"/>
              </w:rPr>
              <w:t>приріст нових випадків реєстрації хвороби COVID-19 у державі за останні 14 днів порівняно з попередніми 14 днями становить більш як 30 відсотків.</w:t>
            </w:r>
          </w:p>
        </w:tc>
        <w:tc>
          <w:tcPr>
            <w:tcW w:w="3191" w:type="dxa"/>
          </w:tcPr>
          <w:p w:rsidR="00031D21" w:rsidRDefault="00031D21" w:rsidP="00031D21">
            <w:pPr>
              <w:rPr>
                <w:lang w:val="uk-UA"/>
              </w:rPr>
            </w:pPr>
            <w:r w:rsidRPr="00031D21">
              <w:rPr>
                <w:lang w:val="uk-UA"/>
              </w:rPr>
              <w:t xml:space="preserve">Перелік держав із значним поширенням COVID-19 формується Міністерством охорони здоров’я та переглядається кожні </w:t>
            </w:r>
            <w:r>
              <w:rPr>
                <w:lang w:val="uk-UA"/>
              </w:rPr>
              <w:t>7</w:t>
            </w:r>
            <w:r w:rsidRPr="00031D21">
              <w:rPr>
                <w:lang w:val="uk-UA"/>
              </w:rPr>
              <w:t>днів.</w:t>
            </w:r>
          </w:p>
        </w:tc>
      </w:tr>
    </w:tbl>
    <w:p w:rsidR="00F079A0" w:rsidRPr="00F079A0" w:rsidRDefault="00F079A0">
      <w:pPr>
        <w:rPr>
          <w:lang w:val="uk-UA"/>
        </w:rPr>
      </w:pPr>
      <w:bookmarkStart w:id="0" w:name="_GoBack"/>
      <w:bookmarkEnd w:id="0"/>
    </w:p>
    <w:sectPr w:rsidR="00F079A0" w:rsidRPr="00F0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0"/>
    <w:rsid w:val="00001503"/>
    <w:rsid w:val="00010203"/>
    <w:rsid w:val="00011541"/>
    <w:rsid w:val="00031D21"/>
    <w:rsid w:val="00032083"/>
    <w:rsid w:val="00032593"/>
    <w:rsid w:val="000378D9"/>
    <w:rsid w:val="00056E05"/>
    <w:rsid w:val="000614E9"/>
    <w:rsid w:val="00062D47"/>
    <w:rsid w:val="00067358"/>
    <w:rsid w:val="0006740E"/>
    <w:rsid w:val="0007604C"/>
    <w:rsid w:val="00084DF8"/>
    <w:rsid w:val="0008561B"/>
    <w:rsid w:val="000905FE"/>
    <w:rsid w:val="00094D14"/>
    <w:rsid w:val="00096FEA"/>
    <w:rsid w:val="00097734"/>
    <w:rsid w:val="000A4346"/>
    <w:rsid w:val="000A50A0"/>
    <w:rsid w:val="000B2099"/>
    <w:rsid w:val="000B31FB"/>
    <w:rsid w:val="000B4AC9"/>
    <w:rsid w:val="000C77C9"/>
    <w:rsid w:val="000D0035"/>
    <w:rsid w:val="000D40EC"/>
    <w:rsid w:val="000E09EB"/>
    <w:rsid w:val="000E207E"/>
    <w:rsid w:val="000E4FB2"/>
    <w:rsid w:val="000F26E2"/>
    <w:rsid w:val="000F5ED0"/>
    <w:rsid w:val="00110A15"/>
    <w:rsid w:val="00111A03"/>
    <w:rsid w:val="001167FD"/>
    <w:rsid w:val="00123D84"/>
    <w:rsid w:val="00125539"/>
    <w:rsid w:val="00136F9C"/>
    <w:rsid w:val="00140656"/>
    <w:rsid w:val="00140DDE"/>
    <w:rsid w:val="00147AB9"/>
    <w:rsid w:val="00166C5F"/>
    <w:rsid w:val="00175B36"/>
    <w:rsid w:val="00176C91"/>
    <w:rsid w:val="001915A4"/>
    <w:rsid w:val="0019184B"/>
    <w:rsid w:val="00196D1A"/>
    <w:rsid w:val="001B0947"/>
    <w:rsid w:val="001B2C08"/>
    <w:rsid w:val="001B5368"/>
    <w:rsid w:val="001B6787"/>
    <w:rsid w:val="001C38C7"/>
    <w:rsid w:val="001C6E2F"/>
    <w:rsid w:val="001E5874"/>
    <w:rsid w:val="001E5A84"/>
    <w:rsid w:val="001E6162"/>
    <w:rsid w:val="001F03BF"/>
    <w:rsid w:val="001F5124"/>
    <w:rsid w:val="00211BEF"/>
    <w:rsid w:val="00217F79"/>
    <w:rsid w:val="002240B3"/>
    <w:rsid w:val="002258F6"/>
    <w:rsid w:val="00230A9B"/>
    <w:rsid w:val="002340C1"/>
    <w:rsid w:val="0023694A"/>
    <w:rsid w:val="0025021E"/>
    <w:rsid w:val="00253069"/>
    <w:rsid w:val="002537D2"/>
    <w:rsid w:val="00253B6F"/>
    <w:rsid w:val="0025564C"/>
    <w:rsid w:val="002572A1"/>
    <w:rsid w:val="00261C4E"/>
    <w:rsid w:val="00275185"/>
    <w:rsid w:val="00294B18"/>
    <w:rsid w:val="002A6037"/>
    <w:rsid w:val="002C3A67"/>
    <w:rsid w:val="002C7AD4"/>
    <w:rsid w:val="002E1BFB"/>
    <w:rsid w:val="002F2AF6"/>
    <w:rsid w:val="002F5AB8"/>
    <w:rsid w:val="00302789"/>
    <w:rsid w:val="003064B4"/>
    <w:rsid w:val="003106C1"/>
    <w:rsid w:val="00311791"/>
    <w:rsid w:val="003153D1"/>
    <w:rsid w:val="003243D7"/>
    <w:rsid w:val="003244AD"/>
    <w:rsid w:val="003252A9"/>
    <w:rsid w:val="00325572"/>
    <w:rsid w:val="00331ABB"/>
    <w:rsid w:val="00336EA6"/>
    <w:rsid w:val="0034022E"/>
    <w:rsid w:val="00345FEC"/>
    <w:rsid w:val="003475AF"/>
    <w:rsid w:val="003539A9"/>
    <w:rsid w:val="00356838"/>
    <w:rsid w:val="0035781D"/>
    <w:rsid w:val="00364201"/>
    <w:rsid w:val="0036515A"/>
    <w:rsid w:val="00365C04"/>
    <w:rsid w:val="00382E16"/>
    <w:rsid w:val="003A4CF2"/>
    <w:rsid w:val="003B6700"/>
    <w:rsid w:val="003C1D8C"/>
    <w:rsid w:val="003D6BA0"/>
    <w:rsid w:val="003E300E"/>
    <w:rsid w:val="003E6AF7"/>
    <w:rsid w:val="003F3678"/>
    <w:rsid w:val="0040659A"/>
    <w:rsid w:val="00410762"/>
    <w:rsid w:val="00411ED0"/>
    <w:rsid w:val="0042661C"/>
    <w:rsid w:val="00443FC0"/>
    <w:rsid w:val="00447D2A"/>
    <w:rsid w:val="00447FE5"/>
    <w:rsid w:val="00462CDC"/>
    <w:rsid w:val="0046710A"/>
    <w:rsid w:val="004719A0"/>
    <w:rsid w:val="00491C2E"/>
    <w:rsid w:val="00497643"/>
    <w:rsid w:val="0049769D"/>
    <w:rsid w:val="004A0DC0"/>
    <w:rsid w:val="004A36A9"/>
    <w:rsid w:val="004B0AA3"/>
    <w:rsid w:val="004B7512"/>
    <w:rsid w:val="004C1685"/>
    <w:rsid w:val="004C638D"/>
    <w:rsid w:val="004D32FC"/>
    <w:rsid w:val="004D4951"/>
    <w:rsid w:val="004D4D6E"/>
    <w:rsid w:val="004D4F30"/>
    <w:rsid w:val="004D7877"/>
    <w:rsid w:val="005007B8"/>
    <w:rsid w:val="0051255C"/>
    <w:rsid w:val="00515D4F"/>
    <w:rsid w:val="0051617E"/>
    <w:rsid w:val="005224AF"/>
    <w:rsid w:val="005250B7"/>
    <w:rsid w:val="00526B8A"/>
    <w:rsid w:val="00530120"/>
    <w:rsid w:val="00531EE1"/>
    <w:rsid w:val="0054153A"/>
    <w:rsid w:val="005471DC"/>
    <w:rsid w:val="00550804"/>
    <w:rsid w:val="005562EA"/>
    <w:rsid w:val="0056046B"/>
    <w:rsid w:val="00561D8E"/>
    <w:rsid w:val="005721E3"/>
    <w:rsid w:val="005724DB"/>
    <w:rsid w:val="00580A5B"/>
    <w:rsid w:val="0058556D"/>
    <w:rsid w:val="005907C6"/>
    <w:rsid w:val="005A06E5"/>
    <w:rsid w:val="005A0DC0"/>
    <w:rsid w:val="005B44F6"/>
    <w:rsid w:val="005C466D"/>
    <w:rsid w:val="005D0750"/>
    <w:rsid w:val="005D4D70"/>
    <w:rsid w:val="005D7F29"/>
    <w:rsid w:val="005E3D3B"/>
    <w:rsid w:val="005E3EB7"/>
    <w:rsid w:val="005E4717"/>
    <w:rsid w:val="005F064E"/>
    <w:rsid w:val="00605C95"/>
    <w:rsid w:val="006100AB"/>
    <w:rsid w:val="006214F9"/>
    <w:rsid w:val="0062223C"/>
    <w:rsid w:val="0062404A"/>
    <w:rsid w:val="006265CC"/>
    <w:rsid w:val="00627792"/>
    <w:rsid w:val="00630D7B"/>
    <w:rsid w:val="00630F7D"/>
    <w:rsid w:val="00635D90"/>
    <w:rsid w:val="006407D9"/>
    <w:rsid w:val="00642CCA"/>
    <w:rsid w:val="00645E7E"/>
    <w:rsid w:val="006517EF"/>
    <w:rsid w:val="00655867"/>
    <w:rsid w:val="00660DC5"/>
    <w:rsid w:val="0066727E"/>
    <w:rsid w:val="006B6FDF"/>
    <w:rsid w:val="006C5390"/>
    <w:rsid w:val="006C7BFE"/>
    <w:rsid w:val="006D1F30"/>
    <w:rsid w:val="006D2365"/>
    <w:rsid w:val="006F5635"/>
    <w:rsid w:val="00707C34"/>
    <w:rsid w:val="007138BB"/>
    <w:rsid w:val="00720958"/>
    <w:rsid w:val="00731391"/>
    <w:rsid w:val="00736A89"/>
    <w:rsid w:val="00746E26"/>
    <w:rsid w:val="00750F90"/>
    <w:rsid w:val="00753EB5"/>
    <w:rsid w:val="00755F47"/>
    <w:rsid w:val="0076564E"/>
    <w:rsid w:val="00777971"/>
    <w:rsid w:val="00782461"/>
    <w:rsid w:val="00787892"/>
    <w:rsid w:val="00795908"/>
    <w:rsid w:val="00795CC4"/>
    <w:rsid w:val="007B13BD"/>
    <w:rsid w:val="007B3990"/>
    <w:rsid w:val="007B4CC3"/>
    <w:rsid w:val="007B5AD4"/>
    <w:rsid w:val="007C12BC"/>
    <w:rsid w:val="007C19D2"/>
    <w:rsid w:val="007F2118"/>
    <w:rsid w:val="007F683A"/>
    <w:rsid w:val="0082269C"/>
    <w:rsid w:val="008303A2"/>
    <w:rsid w:val="00837C84"/>
    <w:rsid w:val="008435FF"/>
    <w:rsid w:val="00844109"/>
    <w:rsid w:val="00851511"/>
    <w:rsid w:val="00854226"/>
    <w:rsid w:val="00854CFD"/>
    <w:rsid w:val="00861533"/>
    <w:rsid w:val="00863188"/>
    <w:rsid w:val="00863A2B"/>
    <w:rsid w:val="00866254"/>
    <w:rsid w:val="008667F7"/>
    <w:rsid w:val="008745AD"/>
    <w:rsid w:val="008751ED"/>
    <w:rsid w:val="008774B5"/>
    <w:rsid w:val="008818AE"/>
    <w:rsid w:val="00884806"/>
    <w:rsid w:val="00887B15"/>
    <w:rsid w:val="008B34E8"/>
    <w:rsid w:val="008C2B77"/>
    <w:rsid w:val="008D219B"/>
    <w:rsid w:val="008E124D"/>
    <w:rsid w:val="008E393B"/>
    <w:rsid w:val="008E620D"/>
    <w:rsid w:val="008F3BA1"/>
    <w:rsid w:val="0090519E"/>
    <w:rsid w:val="00906055"/>
    <w:rsid w:val="0092247B"/>
    <w:rsid w:val="00932D90"/>
    <w:rsid w:val="00943952"/>
    <w:rsid w:val="00943FD4"/>
    <w:rsid w:val="0094609C"/>
    <w:rsid w:val="009526E9"/>
    <w:rsid w:val="00957F72"/>
    <w:rsid w:val="009768EB"/>
    <w:rsid w:val="00986B0E"/>
    <w:rsid w:val="00991EA0"/>
    <w:rsid w:val="00997982"/>
    <w:rsid w:val="009A3E67"/>
    <w:rsid w:val="009C77EF"/>
    <w:rsid w:val="009D32F3"/>
    <w:rsid w:val="009E7A4A"/>
    <w:rsid w:val="00A0254C"/>
    <w:rsid w:val="00A06E5E"/>
    <w:rsid w:val="00A1293A"/>
    <w:rsid w:val="00A369CE"/>
    <w:rsid w:val="00A53149"/>
    <w:rsid w:val="00A54ECE"/>
    <w:rsid w:val="00A564E0"/>
    <w:rsid w:val="00A56A21"/>
    <w:rsid w:val="00A64BD1"/>
    <w:rsid w:val="00A74D48"/>
    <w:rsid w:val="00A812A2"/>
    <w:rsid w:val="00A83686"/>
    <w:rsid w:val="00A92CDC"/>
    <w:rsid w:val="00A93DF3"/>
    <w:rsid w:val="00A972A5"/>
    <w:rsid w:val="00AB10B9"/>
    <w:rsid w:val="00AB6553"/>
    <w:rsid w:val="00AC2A72"/>
    <w:rsid w:val="00AD3439"/>
    <w:rsid w:val="00AE771A"/>
    <w:rsid w:val="00AE7A92"/>
    <w:rsid w:val="00B017EF"/>
    <w:rsid w:val="00B02A1B"/>
    <w:rsid w:val="00B05097"/>
    <w:rsid w:val="00B07A39"/>
    <w:rsid w:val="00B07A81"/>
    <w:rsid w:val="00B07BEF"/>
    <w:rsid w:val="00B128CD"/>
    <w:rsid w:val="00B14441"/>
    <w:rsid w:val="00B33B0D"/>
    <w:rsid w:val="00B404FA"/>
    <w:rsid w:val="00B537EC"/>
    <w:rsid w:val="00B60AC7"/>
    <w:rsid w:val="00B72064"/>
    <w:rsid w:val="00BA067F"/>
    <w:rsid w:val="00BB5CC5"/>
    <w:rsid w:val="00BB5DE7"/>
    <w:rsid w:val="00BB5F25"/>
    <w:rsid w:val="00BD2F63"/>
    <w:rsid w:val="00BD4E63"/>
    <w:rsid w:val="00BD7097"/>
    <w:rsid w:val="00BD7728"/>
    <w:rsid w:val="00BE0CD4"/>
    <w:rsid w:val="00BF02AB"/>
    <w:rsid w:val="00BF129A"/>
    <w:rsid w:val="00BF448D"/>
    <w:rsid w:val="00C06AA6"/>
    <w:rsid w:val="00C10C4A"/>
    <w:rsid w:val="00C11A27"/>
    <w:rsid w:val="00C2419C"/>
    <w:rsid w:val="00C315FE"/>
    <w:rsid w:val="00C333CE"/>
    <w:rsid w:val="00C34794"/>
    <w:rsid w:val="00C461B5"/>
    <w:rsid w:val="00C51573"/>
    <w:rsid w:val="00C5273D"/>
    <w:rsid w:val="00C52AE7"/>
    <w:rsid w:val="00C63E7C"/>
    <w:rsid w:val="00C80D10"/>
    <w:rsid w:val="00C82921"/>
    <w:rsid w:val="00C96A3A"/>
    <w:rsid w:val="00CA03AB"/>
    <w:rsid w:val="00CA673F"/>
    <w:rsid w:val="00CB7A27"/>
    <w:rsid w:val="00CD0D75"/>
    <w:rsid w:val="00CE02E8"/>
    <w:rsid w:val="00CE13C6"/>
    <w:rsid w:val="00CF5BAA"/>
    <w:rsid w:val="00D12BD7"/>
    <w:rsid w:val="00D13C59"/>
    <w:rsid w:val="00D209E0"/>
    <w:rsid w:val="00D372F8"/>
    <w:rsid w:val="00D411B4"/>
    <w:rsid w:val="00D44217"/>
    <w:rsid w:val="00D45081"/>
    <w:rsid w:val="00D46091"/>
    <w:rsid w:val="00D548CA"/>
    <w:rsid w:val="00D656CF"/>
    <w:rsid w:val="00D704AD"/>
    <w:rsid w:val="00D8090C"/>
    <w:rsid w:val="00D909FC"/>
    <w:rsid w:val="00D91167"/>
    <w:rsid w:val="00DA3DF1"/>
    <w:rsid w:val="00DD1A6F"/>
    <w:rsid w:val="00DD5F86"/>
    <w:rsid w:val="00DD63F8"/>
    <w:rsid w:val="00DE47B2"/>
    <w:rsid w:val="00DE48BA"/>
    <w:rsid w:val="00E0005B"/>
    <w:rsid w:val="00E000A6"/>
    <w:rsid w:val="00E00755"/>
    <w:rsid w:val="00E0497D"/>
    <w:rsid w:val="00E16A1B"/>
    <w:rsid w:val="00E17A40"/>
    <w:rsid w:val="00E20621"/>
    <w:rsid w:val="00E549C8"/>
    <w:rsid w:val="00E61A9B"/>
    <w:rsid w:val="00E656D7"/>
    <w:rsid w:val="00E65F00"/>
    <w:rsid w:val="00E7770B"/>
    <w:rsid w:val="00E82D45"/>
    <w:rsid w:val="00E935B4"/>
    <w:rsid w:val="00E943B0"/>
    <w:rsid w:val="00E94A87"/>
    <w:rsid w:val="00EA0984"/>
    <w:rsid w:val="00EA0ED1"/>
    <w:rsid w:val="00EB0B72"/>
    <w:rsid w:val="00EB317C"/>
    <w:rsid w:val="00EC16D8"/>
    <w:rsid w:val="00ED0BA5"/>
    <w:rsid w:val="00ED4FAA"/>
    <w:rsid w:val="00ED6C6B"/>
    <w:rsid w:val="00EE1B30"/>
    <w:rsid w:val="00EF3F40"/>
    <w:rsid w:val="00EF53FC"/>
    <w:rsid w:val="00EF6F1E"/>
    <w:rsid w:val="00EF738D"/>
    <w:rsid w:val="00F06F8E"/>
    <w:rsid w:val="00F079A0"/>
    <w:rsid w:val="00F14A57"/>
    <w:rsid w:val="00F32DDF"/>
    <w:rsid w:val="00F32F20"/>
    <w:rsid w:val="00F51712"/>
    <w:rsid w:val="00F539FA"/>
    <w:rsid w:val="00F547EC"/>
    <w:rsid w:val="00F56BC5"/>
    <w:rsid w:val="00F61E0C"/>
    <w:rsid w:val="00F6337A"/>
    <w:rsid w:val="00F67072"/>
    <w:rsid w:val="00F71276"/>
    <w:rsid w:val="00F75177"/>
    <w:rsid w:val="00F8167D"/>
    <w:rsid w:val="00F8228B"/>
    <w:rsid w:val="00F8755D"/>
    <w:rsid w:val="00F95F4C"/>
    <w:rsid w:val="00FA0A74"/>
    <w:rsid w:val="00FA2DE2"/>
    <w:rsid w:val="00FA438C"/>
    <w:rsid w:val="00FB0528"/>
    <w:rsid w:val="00FB2E7E"/>
    <w:rsid w:val="00FB739C"/>
    <w:rsid w:val="00FC32A3"/>
    <w:rsid w:val="00FE20F7"/>
    <w:rsid w:val="00FF02FC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2020-07-27T06:24:00Z</dcterms:created>
  <dcterms:modified xsi:type="dcterms:W3CDTF">2020-07-27T07:42:00Z</dcterms:modified>
</cp:coreProperties>
</file>