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8C" w:rsidRDefault="00E9538C" w:rsidP="00E9538C">
      <w:pPr>
        <w:pStyle w:val="20"/>
        <w:shd w:val="clear" w:color="auto" w:fill="auto"/>
        <w:spacing w:after="0" w:line="240" w:lineRule="auto"/>
        <w:ind w:right="-1"/>
        <w:jc w:val="center"/>
        <w:rPr>
          <w:sz w:val="28"/>
          <w:szCs w:val="28"/>
        </w:rPr>
      </w:pPr>
      <w:r>
        <w:rPr>
          <w:sz w:val="28"/>
          <w:szCs w:val="28"/>
        </w:rPr>
        <w:t>Індивідуальна податкова консультація</w:t>
      </w:r>
    </w:p>
    <w:p w:rsidR="00E9538C" w:rsidRDefault="00E9538C" w:rsidP="00E9538C">
      <w:pPr>
        <w:pStyle w:val="20"/>
        <w:shd w:val="clear" w:color="auto" w:fill="auto"/>
        <w:spacing w:after="0" w:line="240" w:lineRule="auto"/>
        <w:ind w:right="-1" w:hanging="148"/>
        <w:rPr>
          <w:sz w:val="28"/>
          <w:szCs w:val="28"/>
        </w:rPr>
      </w:pPr>
    </w:p>
    <w:p w:rsidR="00E9538C" w:rsidRDefault="00E9538C" w:rsidP="009A67E8">
      <w:pPr>
        <w:pStyle w:val="a3"/>
        <w:tabs>
          <w:tab w:val="left" w:pos="0"/>
        </w:tabs>
        <w:spacing w:before="0" w:beforeAutospacing="0" w:after="0" w:afterAutospacing="0"/>
        <w:ind w:firstLine="567"/>
        <w:jc w:val="both"/>
        <w:rPr>
          <w:sz w:val="28"/>
          <w:szCs w:val="28"/>
        </w:rPr>
      </w:pPr>
      <w:r w:rsidRPr="00467B7D">
        <w:rPr>
          <w:sz w:val="28"/>
          <w:szCs w:val="28"/>
        </w:rPr>
        <w:t>Державна податкова служба України, керуючись ст. 52 Податкового кодексу України (далі – Кодекс),</w:t>
      </w:r>
      <w:r w:rsidRPr="00467B7D">
        <w:rPr>
          <w:color w:val="000000"/>
          <w:sz w:val="28"/>
          <w:szCs w:val="28"/>
        </w:rPr>
        <w:t xml:space="preserve"> </w:t>
      </w:r>
      <w:r w:rsidRPr="00467B7D">
        <w:rPr>
          <w:sz w:val="28"/>
          <w:szCs w:val="28"/>
        </w:rPr>
        <w:t>розглянула звернення щодо практичного застосування норм податкового законодавства і в межах компетенції повідомляє</w:t>
      </w:r>
      <w:r>
        <w:rPr>
          <w:sz w:val="28"/>
          <w:szCs w:val="28"/>
        </w:rPr>
        <w:t>.</w:t>
      </w:r>
    </w:p>
    <w:p w:rsidR="000E738B" w:rsidRDefault="009A67E8" w:rsidP="009A67E8">
      <w:pPr>
        <w:pStyle w:val="a3"/>
        <w:tabs>
          <w:tab w:val="left" w:pos="0"/>
        </w:tabs>
        <w:spacing w:before="0" w:beforeAutospacing="0" w:after="0" w:afterAutospacing="0"/>
        <w:ind w:firstLine="567"/>
        <w:jc w:val="both"/>
        <w:rPr>
          <w:sz w:val="28"/>
          <w:szCs w:val="28"/>
        </w:rPr>
      </w:pPr>
      <w:r>
        <w:rPr>
          <w:sz w:val="28"/>
          <w:szCs w:val="28"/>
        </w:rPr>
        <w:t>Платник податків у своєму зверненні повідомив, що є фізичною особою – підприємцем</w:t>
      </w:r>
      <w:r w:rsidR="000E738B">
        <w:rPr>
          <w:sz w:val="28"/>
          <w:szCs w:val="28"/>
        </w:rPr>
        <w:t xml:space="preserve"> на загальній системі оподаткування та 01.08.2020 зареєструвалася платником ПДВ.</w:t>
      </w:r>
      <w:r w:rsidR="00DE2D9A">
        <w:rPr>
          <w:sz w:val="28"/>
          <w:szCs w:val="28"/>
        </w:rPr>
        <w:t xml:space="preserve"> При цьому платник податків зазначив також, що здійснює господарську діяльність за </w:t>
      </w:r>
      <w:proofErr w:type="spellStart"/>
      <w:r w:rsidR="00DE2D9A">
        <w:rPr>
          <w:sz w:val="28"/>
          <w:szCs w:val="28"/>
        </w:rPr>
        <w:t>КВЕДом</w:t>
      </w:r>
      <w:proofErr w:type="spellEnd"/>
      <w:r w:rsidR="00DE2D9A">
        <w:rPr>
          <w:sz w:val="28"/>
          <w:szCs w:val="28"/>
        </w:rPr>
        <w:t xml:space="preserve"> 86.22 «Спеціалізована медична практика».</w:t>
      </w:r>
    </w:p>
    <w:p w:rsidR="00DE2D9A" w:rsidRDefault="00DE2D9A" w:rsidP="009A67E8">
      <w:pPr>
        <w:pStyle w:val="a3"/>
        <w:tabs>
          <w:tab w:val="left" w:pos="0"/>
        </w:tabs>
        <w:spacing w:before="0" w:beforeAutospacing="0" w:after="0" w:afterAutospacing="0"/>
        <w:ind w:firstLine="567"/>
        <w:jc w:val="both"/>
        <w:rPr>
          <w:sz w:val="28"/>
          <w:szCs w:val="28"/>
        </w:rPr>
      </w:pPr>
      <w:r>
        <w:rPr>
          <w:sz w:val="28"/>
          <w:szCs w:val="28"/>
        </w:rPr>
        <w:t>Таким чином,</w:t>
      </w:r>
      <w:r w:rsidR="009A67E8">
        <w:rPr>
          <w:sz w:val="28"/>
          <w:szCs w:val="28"/>
        </w:rPr>
        <w:t xml:space="preserve"> </w:t>
      </w:r>
      <w:r w:rsidR="00723B78">
        <w:rPr>
          <w:sz w:val="28"/>
          <w:szCs w:val="28"/>
        </w:rPr>
        <w:t xml:space="preserve">платник податків </w:t>
      </w:r>
      <w:r w:rsidR="009A67E8">
        <w:rPr>
          <w:sz w:val="28"/>
          <w:szCs w:val="28"/>
        </w:rPr>
        <w:t xml:space="preserve">просить надати консультацію з </w:t>
      </w:r>
      <w:r>
        <w:rPr>
          <w:sz w:val="28"/>
          <w:szCs w:val="28"/>
        </w:rPr>
        <w:t>питання щодо ставки ПДВ.</w:t>
      </w:r>
    </w:p>
    <w:p w:rsidR="00CE3510" w:rsidRDefault="00C22305" w:rsidP="009A67E8">
      <w:pPr>
        <w:pStyle w:val="a3"/>
        <w:tabs>
          <w:tab w:val="left" w:pos="0"/>
        </w:tabs>
        <w:spacing w:before="0" w:beforeAutospacing="0" w:after="0" w:afterAutospacing="0"/>
        <w:ind w:firstLine="567"/>
        <w:jc w:val="both"/>
        <w:rPr>
          <w:sz w:val="28"/>
          <w:szCs w:val="28"/>
        </w:rPr>
      </w:pPr>
      <w:r w:rsidRPr="00C22305">
        <w:rPr>
          <w:sz w:val="28"/>
          <w:szCs w:val="28"/>
        </w:rPr>
        <w:t xml:space="preserve">Правові основи оподаткування ПДВ встановлено розділом V та підрозділом 2 розділу XX </w:t>
      </w:r>
      <w:r>
        <w:rPr>
          <w:sz w:val="28"/>
          <w:szCs w:val="28"/>
        </w:rPr>
        <w:t>Кодексу</w:t>
      </w:r>
      <w:r w:rsidRPr="00C22305">
        <w:rPr>
          <w:sz w:val="28"/>
          <w:szCs w:val="28"/>
        </w:rPr>
        <w:t>.</w:t>
      </w:r>
    </w:p>
    <w:p w:rsidR="00C22305" w:rsidRDefault="00C22305" w:rsidP="009A67E8">
      <w:pPr>
        <w:pStyle w:val="a3"/>
        <w:tabs>
          <w:tab w:val="left" w:pos="0"/>
        </w:tabs>
        <w:spacing w:before="0" w:beforeAutospacing="0" w:after="0" w:afterAutospacing="0"/>
        <w:ind w:firstLine="567"/>
        <w:jc w:val="both"/>
        <w:rPr>
          <w:sz w:val="28"/>
          <w:szCs w:val="28"/>
        </w:rPr>
      </w:pPr>
      <w:r w:rsidRPr="00C22305">
        <w:rPr>
          <w:sz w:val="28"/>
          <w:szCs w:val="28"/>
        </w:rPr>
        <w:t xml:space="preserve">Відповідно до п. 193.1 ст. 193 </w:t>
      </w:r>
      <w:r>
        <w:rPr>
          <w:sz w:val="28"/>
          <w:szCs w:val="28"/>
        </w:rPr>
        <w:t>Кодексу</w:t>
      </w:r>
      <w:r w:rsidRPr="00C22305">
        <w:rPr>
          <w:sz w:val="28"/>
          <w:szCs w:val="28"/>
        </w:rPr>
        <w:t xml:space="preserve"> </w:t>
      </w:r>
      <w:proofErr w:type="spellStart"/>
      <w:r w:rsidRPr="00C22305">
        <w:rPr>
          <w:sz w:val="28"/>
          <w:szCs w:val="28"/>
        </w:rPr>
        <w:t>cтавки</w:t>
      </w:r>
      <w:proofErr w:type="spellEnd"/>
      <w:r w:rsidRPr="00C22305">
        <w:rPr>
          <w:sz w:val="28"/>
          <w:szCs w:val="28"/>
        </w:rPr>
        <w:t xml:space="preserve"> податку встановлюються від бази оподаткування в таких розмірах: </w:t>
      </w:r>
    </w:p>
    <w:p w:rsidR="00C22305" w:rsidRDefault="00C22305" w:rsidP="009A67E8">
      <w:pPr>
        <w:pStyle w:val="a3"/>
        <w:tabs>
          <w:tab w:val="left" w:pos="0"/>
        </w:tabs>
        <w:spacing w:before="0" w:beforeAutospacing="0" w:after="0" w:afterAutospacing="0"/>
        <w:ind w:firstLine="567"/>
        <w:jc w:val="both"/>
        <w:rPr>
          <w:sz w:val="28"/>
          <w:szCs w:val="28"/>
        </w:rPr>
      </w:pPr>
      <w:r w:rsidRPr="00C22305">
        <w:rPr>
          <w:sz w:val="28"/>
          <w:szCs w:val="28"/>
        </w:rPr>
        <w:t xml:space="preserve">а) 20 відсотків; </w:t>
      </w:r>
    </w:p>
    <w:p w:rsidR="00C22305" w:rsidRDefault="00C22305" w:rsidP="009A67E8">
      <w:pPr>
        <w:pStyle w:val="a3"/>
        <w:tabs>
          <w:tab w:val="left" w:pos="0"/>
        </w:tabs>
        <w:spacing w:before="0" w:beforeAutospacing="0" w:after="0" w:afterAutospacing="0"/>
        <w:ind w:firstLine="567"/>
        <w:jc w:val="both"/>
        <w:rPr>
          <w:sz w:val="28"/>
          <w:szCs w:val="28"/>
        </w:rPr>
      </w:pPr>
      <w:r w:rsidRPr="00C22305">
        <w:rPr>
          <w:sz w:val="28"/>
          <w:szCs w:val="28"/>
        </w:rPr>
        <w:t xml:space="preserve">б) 0 відсотків; </w:t>
      </w:r>
    </w:p>
    <w:p w:rsidR="00C22305" w:rsidRDefault="00C22305" w:rsidP="009A67E8">
      <w:pPr>
        <w:pStyle w:val="a3"/>
        <w:tabs>
          <w:tab w:val="left" w:pos="0"/>
        </w:tabs>
        <w:spacing w:before="0" w:beforeAutospacing="0" w:after="0" w:afterAutospacing="0"/>
        <w:ind w:firstLine="567"/>
        <w:jc w:val="both"/>
        <w:rPr>
          <w:sz w:val="28"/>
          <w:szCs w:val="28"/>
        </w:rPr>
      </w:pPr>
      <w:r w:rsidRPr="00C22305">
        <w:rPr>
          <w:sz w:val="28"/>
          <w:szCs w:val="28"/>
        </w:rPr>
        <w:t>в) 7 відсотків по операціях з:</w:t>
      </w:r>
    </w:p>
    <w:p w:rsidR="00C22305" w:rsidRDefault="00C22305" w:rsidP="009A67E8">
      <w:pPr>
        <w:pStyle w:val="a3"/>
        <w:tabs>
          <w:tab w:val="left" w:pos="0"/>
        </w:tabs>
        <w:spacing w:before="0" w:beforeAutospacing="0" w:after="0" w:afterAutospacing="0"/>
        <w:ind w:firstLine="567"/>
        <w:jc w:val="both"/>
        <w:rPr>
          <w:sz w:val="28"/>
          <w:szCs w:val="28"/>
        </w:rPr>
      </w:pPr>
      <w:r w:rsidRPr="00C22305">
        <w:rPr>
          <w:sz w:val="28"/>
          <w:szCs w:val="28"/>
        </w:rPr>
        <w:t>постачання на митній території України та ввезення на митну територію України лікарських засобів, дозволених для виробництва і застосування в Україні та внесених до Державного реєстру лікарських засобів, а також медичних виробів, які внесені до Державного реєстру медичної техніки та виробів медичного призначення або відповідають вимогам відповідних технічних регламентів, що підтверджується документом про відповідність, та дозволені для надання на ринку та/або введення в експлуатацію і застосування в Україні;</w:t>
      </w:r>
    </w:p>
    <w:p w:rsidR="00C22305" w:rsidRPr="00C22305" w:rsidRDefault="00C22305" w:rsidP="009A67E8">
      <w:pPr>
        <w:pStyle w:val="a3"/>
        <w:tabs>
          <w:tab w:val="left" w:pos="0"/>
        </w:tabs>
        <w:spacing w:before="0" w:beforeAutospacing="0" w:after="0" w:afterAutospacing="0"/>
        <w:ind w:firstLine="567"/>
        <w:jc w:val="both"/>
        <w:rPr>
          <w:sz w:val="28"/>
          <w:szCs w:val="28"/>
        </w:rPr>
      </w:pPr>
      <w:r w:rsidRPr="00C22305">
        <w:rPr>
          <w:sz w:val="28"/>
          <w:szCs w:val="28"/>
        </w:rPr>
        <w:t>постачання на митній території України та ввезення на митну територію України лікарських засобів, медичних виробів та/або медичного обладнання, дозволених для застосування у межах клінічних випробувань, дозвіл на проведення яких надано центральним органом виконавчої влади, що забезпечує формування державної політики у сфері охорони здоров’я.</w:t>
      </w:r>
    </w:p>
    <w:p w:rsidR="00C22305" w:rsidRDefault="00B6462E" w:rsidP="009A67E8">
      <w:pPr>
        <w:pStyle w:val="a3"/>
        <w:tabs>
          <w:tab w:val="left" w:pos="0"/>
        </w:tabs>
        <w:spacing w:before="0" w:beforeAutospacing="0" w:after="0" w:afterAutospacing="0"/>
        <w:ind w:firstLine="567"/>
        <w:jc w:val="both"/>
        <w:rPr>
          <w:sz w:val="28"/>
          <w:szCs w:val="28"/>
        </w:rPr>
      </w:pPr>
      <w:r>
        <w:rPr>
          <w:sz w:val="28"/>
          <w:szCs w:val="28"/>
        </w:rPr>
        <w:t>Статтею 195 визначено</w:t>
      </w:r>
      <w:r w:rsidRPr="00B6462E">
        <w:rPr>
          <w:sz w:val="28"/>
          <w:szCs w:val="28"/>
        </w:rPr>
        <w:t xml:space="preserve"> </w:t>
      </w:r>
      <w:r>
        <w:rPr>
          <w:sz w:val="28"/>
          <w:szCs w:val="28"/>
        </w:rPr>
        <w:t>перелік оп</w:t>
      </w:r>
      <w:r w:rsidRPr="00B6462E">
        <w:rPr>
          <w:sz w:val="28"/>
          <w:szCs w:val="28"/>
        </w:rPr>
        <w:t>ераці</w:t>
      </w:r>
      <w:r>
        <w:rPr>
          <w:sz w:val="28"/>
          <w:szCs w:val="28"/>
        </w:rPr>
        <w:t>й</w:t>
      </w:r>
      <w:r w:rsidRPr="00B6462E">
        <w:rPr>
          <w:sz w:val="28"/>
          <w:szCs w:val="28"/>
        </w:rPr>
        <w:t>, що підлягають оподаткуванню за нульовою ставкою</w:t>
      </w:r>
      <w:r>
        <w:rPr>
          <w:sz w:val="28"/>
          <w:szCs w:val="28"/>
        </w:rPr>
        <w:t>, який не містять операції з надання медичних послуг.</w:t>
      </w:r>
    </w:p>
    <w:p w:rsidR="00B6462E" w:rsidRDefault="00B6462E" w:rsidP="00B6462E">
      <w:pPr>
        <w:pStyle w:val="a3"/>
        <w:tabs>
          <w:tab w:val="left" w:pos="0"/>
        </w:tabs>
        <w:spacing w:before="0" w:beforeAutospacing="0" w:after="0" w:afterAutospacing="0"/>
        <w:ind w:firstLine="567"/>
        <w:jc w:val="both"/>
        <w:rPr>
          <w:sz w:val="28"/>
          <w:szCs w:val="28"/>
        </w:rPr>
      </w:pPr>
      <w:r>
        <w:rPr>
          <w:sz w:val="28"/>
          <w:szCs w:val="28"/>
        </w:rPr>
        <w:t>Крім того, з</w:t>
      </w:r>
      <w:r w:rsidR="00DE2D9A" w:rsidRPr="00DE2D9A">
        <w:rPr>
          <w:sz w:val="28"/>
          <w:szCs w:val="28"/>
        </w:rPr>
        <w:t xml:space="preserve">гідно з </w:t>
      </w:r>
      <w:proofErr w:type="spellStart"/>
      <w:r w:rsidR="00DE2D9A" w:rsidRPr="00DE2D9A">
        <w:rPr>
          <w:sz w:val="28"/>
          <w:szCs w:val="28"/>
        </w:rPr>
        <w:t>п</w:t>
      </w:r>
      <w:r w:rsidR="00DE2D9A">
        <w:rPr>
          <w:sz w:val="28"/>
          <w:szCs w:val="28"/>
        </w:rPr>
        <w:t>.</w:t>
      </w:r>
      <w:r w:rsidR="00DE2D9A" w:rsidRPr="00DE2D9A">
        <w:rPr>
          <w:sz w:val="28"/>
          <w:szCs w:val="28"/>
        </w:rPr>
        <w:t>п</w:t>
      </w:r>
      <w:proofErr w:type="spellEnd"/>
      <w:r w:rsidR="00DE2D9A" w:rsidRPr="00DE2D9A">
        <w:rPr>
          <w:sz w:val="28"/>
          <w:szCs w:val="28"/>
        </w:rPr>
        <w:t>.</w:t>
      </w:r>
      <w:r w:rsidR="00C22305">
        <w:rPr>
          <w:sz w:val="28"/>
          <w:szCs w:val="28"/>
        </w:rPr>
        <w:t xml:space="preserve"> </w:t>
      </w:r>
      <w:r w:rsidR="00DE2D9A" w:rsidRPr="00DE2D9A">
        <w:rPr>
          <w:sz w:val="28"/>
          <w:szCs w:val="28"/>
        </w:rPr>
        <w:t>197.1.5 п.</w:t>
      </w:r>
      <w:r w:rsidR="00DE2D9A">
        <w:rPr>
          <w:sz w:val="28"/>
          <w:szCs w:val="28"/>
        </w:rPr>
        <w:t xml:space="preserve"> </w:t>
      </w:r>
      <w:r w:rsidR="00DE2D9A" w:rsidRPr="00DE2D9A">
        <w:rPr>
          <w:sz w:val="28"/>
          <w:szCs w:val="28"/>
        </w:rPr>
        <w:t>197.1 ст.</w:t>
      </w:r>
      <w:r w:rsidR="00DE2D9A">
        <w:rPr>
          <w:sz w:val="28"/>
          <w:szCs w:val="28"/>
        </w:rPr>
        <w:t xml:space="preserve"> </w:t>
      </w:r>
      <w:r w:rsidR="00DE2D9A" w:rsidRPr="00DE2D9A">
        <w:rPr>
          <w:sz w:val="28"/>
          <w:szCs w:val="28"/>
        </w:rPr>
        <w:t xml:space="preserve">197 </w:t>
      </w:r>
      <w:r w:rsidR="00C22305">
        <w:rPr>
          <w:sz w:val="28"/>
          <w:szCs w:val="28"/>
        </w:rPr>
        <w:t>Кодексу</w:t>
      </w:r>
      <w:r w:rsidR="00DE2D9A" w:rsidRPr="00DE2D9A">
        <w:rPr>
          <w:sz w:val="28"/>
          <w:szCs w:val="28"/>
        </w:rPr>
        <w:t xml:space="preserve"> звільняються від оподаткування ПДВ операції з постачання послуг з охорони здоров’я закладами охорони здоров’я, що мають ліцензію на постачання таких послуг, а також постачання послуг реабілітаційними установами для осіб з інвалідністю та дітей з інвалідністю, що мають ліцензію на постачання таких послуг відповідно до законодавства, крім послуг, перелічених в абзацах </w:t>
      </w:r>
      <w:r w:rsidR="00DE2D9A">
        <w:rPr>
          <w:sz w:val="28"/>
          <w:szCs w:val="28"/>
        </w:rPr>
        <w:t>«</w:t>
      </w:r>
      <w:r w:rsidR="00DE2D9A" w:rsidRPr="00DE2D9A">
        <w:rPr>
          <w:sz w:val="28"/>
          <w:szCs w:val="28"/>
        </w:rPr>
        <w:t>а</w:t>
      </w:r>
      <w:r w:rsidR="00DE2D9A">
        <w:rPr>
          <w:sz w:val="28"/>
          <w:szCs w:val="28"/>
        </w:rPr>
        <w:t>»</w:t>
      </w:r>
      <w:r w:rsidR="00DE2D9A" w:rsidRPr="00DE2D9A">
        <w:rPr>
          <w:sz w:val="28"/>
          <w:szCs w:val="28"/>
        </w:rPr>
        <w:t xml:space="preserve"> - </w:t>
      </w:r>
      <w:r w:rsidR="00DE2D9A">
        <w:rPr>
          <w:sz w:val="28"/>
          <w:szCs w:val="28"/>
        </w:rPr>
        <w:t>«</w:t>
      </w:r>
      <w:r w:rsidR="00DE2D9A" w:rsidRPr="00DE2D9A">
        <w:rPr>
          <w:sz w:val="28"/>
          <w:szCs w:val="28"/>
        </w:rPr>
        <w:t>о</w:t>
      </w:r>
      <w:r w:rsidR="00DE2D9A">
        <w:rPr>
          <w:sz w:val="28"/>
          <w:szCs w:val="28"/>
        </w:rPr>
        <w:t>»</w:t>
      </w:r>
      <w:r w:rsidR="00DE2D9A" w:rsidRPr="00DE2D9A">
        <w:rPr>
          <w:sz w:val="28"/>
          <w:szCs w:val="28"/>
        </w:rPr>
        <w:t xml:space="preserve"> п.</w:t>
      </w:r>
      <w:r w:rsidR="00DE2D9A">
        <w:rPr>
          <w:sz w:val="28"/>
          <w:szCs w:val="28"/>
        </w:rPr>
        <w:t xml:space="preserve"> </w:t>
      </w:r>
      <w:r w:rsidR="00DE2D9A" w:rsidRPr="00DE2D9A">
        <w:rPr>
          <w:sz w:val="28"/>
          <w:szCs w:val="28"/>
        </w:rPr>
        <w:t>197.1 ст.</w:t>
      </w:r>
      <w:r w:rsidR="00DE2D9A">
        <w:rPr>
          <w:sz w:val="28"/>
          <w:szCs w:val="28"/>
        </w:rPr>
        <w:t xml:space="preserve"> </w:t>
      </w:r>
      <w:r w:rsidR="00DE2D9A" w:rsidRPr="00DE2D9A">
        <w:rPr>
          <w:sz w:val="28"/>
          <w:szCs w:val="28"/>
        </w:rPr>
        <w:t xml:space="preserve">197 </w:t>
      </w:r>
      <w:r>
        <w:rPr>
          <w:sz w:val="28"/>
          <w:szCs w:val="28"/>
        </w:rPr>
        <w:t>Кодексу. Тобто,</w:t>
      </w:r>
      <w:r w:rsidR="00DE2D9A" w:rsidRPr="00DE2D9A">
        <w:rPr>
          <w:sz w:val="28"/>
          <w:szCs w:val="28"/>
        </w:rPr>
        <w:t xml:space="preserve"> </w:t>
      </w:r>
      <w:r>
        <w:rPr>
          <w:sz w:val="28"/>
          <w:szCs w:val="28"/>
        </w:rPr>
        <w:t>зазначену</w:t>
      </w:r>
      <w:r w:rsidR="00DE2D9A" w:rsidRPr="00DE2D9A">
        <w:rPr>
          <w:sz w:val="28"/>
          <w:szCs w:val="28"/>
        </w:rPr>
        <w:t xml:space="preserve"> пільгу мають право використовувати виключно заклади охорони здоров’я та реабілітаційні установи для осіб з інвалідністю та дітей з інвалідністю, які мають ліцензію на постачання послуг з охорони здоров’я.</w:t>
      </w:r>
    </w:p>
    <w:p w:rsidR="00B6462E" w:rsidRPr="00B6462E" w:rsidRDefault="00B6462E" w:rsidP="00B6462E">
      <w:pPr>
        <w:pStyle w:val="a3"/>
        <w:tabs>
          <w:tab w:val="left" w:pos="0"/>
        </w:tabs>
        <w:spacing w:before="0" w:beforeAutospacing="0" w:after="0" w:afterAutospacing="0"/>
        <w:ind w:firstLine="567"/>
        <w:jc w:val="both"/>
        <w:rPr>
          <w:sz w:val="28"/>
          <w:szCs w:val="28"/>
        </w:rPr>
      </w:pPr>
      <w:r>
        <w:rPr>
          <w:sz w:val="28"/>
          <w:szCs w:val="28"/>
        </w:rPr>
        <w:t>Враховуючи викладене</w:t>
      </w:r>
      <w:r w:rsidR="00DE2D9A" w:rsidRPr="00DE2D9A">
        <w:rPr>
          <w:sz w:val="28"/>
          <w:szCs w:val="28"/>
        </w:rPr>
        <w:t>, послуги з охорони здоров’я</w:t>
      </w:r>
      <w:r w:rsidR="00C83439">
        <w:rPr>
          <w:sz w:val="28"/>
          <w:szCs w:val="28"/>
        </w:rPr>
        <w:t xml:space="preserve"> (медична практика)</w:t>
      </w:r>
      <w:r w:rsidR="00DE2D9A" w:rsidRPr="00DE2D9A">
        <w:rPr>
          <w:sz w:val="28"/>
          <w:szCs w:val="28"/>
        </w:rPr>
        <w:t xml:space="preserve">, які надаються </w:t>
      </w:r>
      <w:r>
        <w:rPr>
          <w:sz w:val="28"/>
          <w:szCs w:val="28"/>
        </w:rPr>
        <w:t>фізичною особою – підприємцем на загальній системі оподаткування</w:t>
      </w:r>
      <w:r w:rsidR="00DE2D9A" w:rsidRPr="00DE2D9A">
        <w:rPr>
          <w:sz w:val="28"/>
          <w:szCs w:val="28"/>
        </w:rPr>
        <w:t xml:space="preserve"> за наявності спеціального дозволу (ліцензії) на проведення відповідних видів </w:t>
      </w:r>
      <w:r w:rsidR="00DE2D9A" w:rsidRPr="00DE2D9A">
        <w:rPr>
          <w:sz w:val="28"/>
          <w:szCs w:val="28"/>
        </w:rPr>
        <w:lastRenderedPageBreak/>
        <w:t>послуг з охорони здоров’я</w:t>
      </w:r>
      <w:r w:rsidR="00C83439">
        <w:rPr>
          <w:sz w:val="28"/>
          <w:szCs w:val="28"/>
        </w:rPr>
        <w:t>,</w:t>
      </w:r>
      <w:r w:rsidR="00DE2D9A" w:rsidRPr="00DE2D9A">
        <w:rPr>
          <w:sz w:val="28"/>
          <w:szCs w:val="28"/>
        </w:rPr>
        <w:t xml:space="preserve"> </w:t>
      </w:r>
      <w:r>
        <w:rPr>
          <w:sz w:val="28"/>
          <w:szCs w:val="28"/>
        </w:rPr>
        <w:t xml:space="preserve">оподатковуються </w:t>
      </w:r>
      <w:r w:rsidRPr="00B6462E">
        <w:rPr>
          <w:sz w:val="28"/>
          <w:szCs w:val="28"/>
        </w:rPr>
        <w:t>ПДВ на загальних підставах із застосування основної ставки, тобто 20 відсотків.</w:t>
      </w:r>
      <w:r w:rsidR="00C83439">
        <w:rPr>
          <w:sz w:val="28"/>
          <w:szCs w:val="28"/>
        </w:rPr>
        <w:t xml:space="preserve"> </w:t>
      </w:r>
    </w:p>
    <w:p w:rsidR="008126DA" w:rsidRPr="008126DA" w:rsidRDefault="008126DA" w:rsidP="008126DA">
      <w:pPr>
        <w:spacing w:after="0" w:line="240" w:lineRule="auto"/>
        <w:ind w:firstLine="540"/>
        <w:jc w:val="both"/>
        <w:rPr>
          <w:rFonts w:ascii="Times New Roman" w:hAnsi="Times New Roman" w:cs="Times New Roman"/>
          <w:sz w:val="28"/>
          <w:szCs w:val="28"/>
        </w:rPr>
      </w:pPr>
      <w:r w:rsidRPr="00DE2D9A">
        <w:rPr>
          <w:rFonts w:ascii="Times New Roman" w:hAnsi="Times New Roman" w:cs="Times New Roman"/>
          <w:sz w:val="28"/>
          <w:szCs w:val="28"/>
        </w:rPr>
        <w:t>Відповідно до п. 52.2 ст. 52 Кодексу податкова консультація має</w:t>
      </w:r>
      <w:r w:rsidRPr="008126DA">
        <w:rPr>
          <w:rFonts w:ascii="Times New Roman" w:hAnsi="Times New Roman" w:cs="Times New Roman"/>
          <w:sz w:val="28"/>
          <w:szCs w:val="28"/>
        </w:rPr>
        <w:t xml:space="preserve"> індивідуальний характер і може використовуватися виключно платником податків, якому надано таку консультацію.</w:t>
      </w:r>
    </w:p>
    <w:p w:rsidR="008126DA" w:rsidRDefault="008126DA" w:rsidP="008126DA">
      <w:pPr>
        <w:pStyle w:val="a3"/>
        <w:spacing w:before="0" w:beforeAutospacing="0" w:after="0" w:afterAutospacing="0"/>
        <w:ind w:firstLine="567"/>
        <w:jc w:val="both"/>
        <w:rPr>
          <w:sz w:val="28"/>
          <w:szCs w:val="28"/>
        </w:rPr>
      </w:pPr>
    </w:p>
    <w:p w:rsidR="008126DA" w:rsidRDefault="008126DA" w:rsidP="008126DA">
      <w:pPr>
        <w:pStyle w:val="a3"/>
        <w:spacing w:before="0" w:beforeAutospacing="0" w:after="0" w:afterAutospacing="0"/>
        <w:ind w:firstLine="567"/>
        <w:jc w:val="both"/>
        <w:rPr>
          <w:sz w:val="28"/>
          <w:szCs w:val="28"/>
        </w:rPr>
      </w:pPr>
    </w:p>
    <w:p w:rsidR="008126DA" w:rsidRPr="008126DA" w:rsidRDefault="008126DA" w:rsidP="008126DA">
      <w:pPr>
        <w:pStyle w:val="a3"/>
        <w:spacing w:before="0" w:beforeAutospacing="0" w:after="0" w:afterAutospacing="0"/>
        <w:ind w:firstLine="567"/>
        <w:jc w:val="both"/>
        <w:rPr>
          <w:sz w:val="28"/>
          <w:szCs w:val="28"/>
        </w:rPr>
      </w:pPr>
      <w:bookmarkStart w:id="0" w:name="_GoBack"/>
      <w:bookmarkEnd w:id="0"/>
    </w:p>
    <w:sectPr w:rsidR="008126DA" w:rsidRPr="008126DA" w:rsidSect="002375E1">
      <w:headerReference w:type="default" r:id="rId7"/>
      <w:pgSz w:w="11906" w:h="16838"/>
      <w:pgMar w:top="850" w:right="566"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0F" w:rsidRDefault="00951C0F" w:rsidP="00A3505A">
      <w:pPr>
        <w:spacing w:after="0" w:line="240" w:lineRule="auto"/>
      </w:pPr>
      <w:r>
        <w:separator/>
      </w:r>
    </w:p>
  </w:endnote>
  <w:endnote w:type="continuationSeparator" w:id="0">
    <w:p w:rsidR="00951C0F" w:rsidRDefault="00951C0F" w:rsidP="00A3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0F" w:rsidRDefault="00951C0F" w:rsidP="00A3505A">
      <w:pPr>
        <w:spacing w:after="0" w:line="240" w:lineRule="auto"/>
      </w:pPr>
      <w:r>
        <w:separator/>
      </w:r>
    </w:p>
  </w:footnote>
  <w:footnote w:type="continuationSeparator" w:id="0">
    <w:p w:rsidR="00951C0F" w:rsidRDefault="00951C0F" w:rsidP="00A35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4551"/>
      <w:docPartObj>
        <w:docPartGallery w:val="Page Numbers (Top of Page)"/>
        <w:docPartUnique/>
      </w:docPartObj>
    </w:sdtPr>
    <w:sdtEndPr/>
    <w:sdtContent>
      <w:p w:rsidR="00A3505A" w:rsidRDefault="00D60B1B">
        <w:pPr>
          <w:pStyle w:val="a4"/>
          <w:jc w:val="center"/>
        </w:pPr>
        <w:r>
          <w:fldChar w:fldCharType="begin"/>
        </w:r>
        <w:r>
          <w:instrText xml:space="preserve"> PAGE   \* MERGEFORMAT </w:instrText>
        </w:r>
        <w:r>
          <w:fldChar w:fldCharType="separate"/>
        </w:r>
        <w:r w:rsidR="00AC1CD7">
          <w:rPr>
            <w:noProof/>
          </w:rPr>
          <w:t>2</w:t>
        </w:r>
        <w:r>
          <w:rPr>
            <w:noProof/>
          </w:rPr>
          <w:fldChar w:fldCharType="end"/>
        </w:r>
      </w:p>
    </w:sdtContent>
  </w:sdt>
  <w:p w:rsidR="00A3505A" w:rsidRDefault="00A3505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5A"/>
    <w:rsid w:val="000E738B"/>
    <w:rsid w:val="00141C0A"/>
    <w:rsid w:val="001D7555"/>
    <w:rsid w:val="002375E1"/>
    <w:rsid w:val="002A5E3B"/>
    <w:rsid w:val="00361CE5"/>
    <w:rsid w:val="003A7F4A"/>
    <w:rsid w:val="003C2F90"/>
    <w:rsid w:val="004933CF"/>
    <w:rsid w:val="005809E7"/>
    <w:rsid w:val="0058109F"/>
    <w:rsid w:val="005D5DF9"/>
    <w:rsid w:val="00723B78"/>
    <w:rsid w:val="00754219"/>
    <w:rsid w:val="008126DA"/>
    <w:rsid w:val="008D1812"/>
    <w:rsid w:val="00951C0F"/>
    <w:rsid w:val="009A67E8"/>
    <w:rsid w:val="00A3505A"/>
    <w:rsid w:val="00A71E26"/>
    <w:rsid w:val="00AC1CD7"/>
    <w:rsid w:val="00AF1430"/>
    <w:rsid w:val="00B538B1"/>
    <w:rsid w:val="00B6462E"/>
    <w:rsid w:val="00C22305"/>
    <w:rsid w:val="00C83439"/>
    <w:rsid w:val="00CE3510"/>
    <w:rsid w:val="00D60B1B"/>
    <w:rsid w:val="00DA4E07"/>
    <w:rsid w:val="00DE2D9A"/>
    <w:rsid w:val="00E774A7"/>
    <w:rsid w:val="00E953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Normal (Web),Обычный (веб) Знак,Знак1 Знак,Знак1 Знак Знак,Знак1 Знак Знак Знак Знак Знак Знак Знак,Знак1,Обычный (Web) Знак Знак Знак Знак Знак Знак,Обычный (веб)1 Знак,Знак1 Знак Знак Знак, Знак1 Знак, Знак1"/>
    <w:basedOn w:val="a"/>
    <w:link w:val="1"/>
    <w:unhideWhenUsed/>
    <w:qFormat/>
    <w:rsid w:val="00A35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A3505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3505A"/>
    <w:pPr>
      <w:widowControl w:val="0"/>
      <w:shd w:val="clear" w:color="auto" w:fill="FFFFFF"/>
      <w:spacing w:after="120" w:line="302" w:lineRule="exact"/>
    </w:pPr>
    <w:rPr>
      <w:rFonts w:ascii="Times New Roman" w:eastAsia="Times New Roman" w:hAnsi="Times New Roman" w:cs="Times New Roman"/>
      <w:sz w:val="26"/>
      <w:szCs w:val="26"/>
    </w:rPr>
  </w:style>
  <w:style w:type="paragraph" w:styleId="a4">
    <w:name w:val="header"/>
    <w:basedOn w:val="a"/>
    <w:link w:val="a5"/>
    <w:uiPriority w:val="99"/>
    <w:unhideWhenUsed/>
    <w:rsid w:val="00A3505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3505A"/>
  </w:style>
  <w:style w:type="paragraph" w:styleId="a6">
    <w:name w:val="footer"/>
    <w:basedOn w:val="a"/>
    <w:link w:val="a7"/>
    <w:uiPriority w:val="99"/>
    <w:unhideWhenUsed/>
    <w:rsid w:val="00A3505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3505A"/>
  </w:style>
  <w:style w:type="paragraph" w:styleId="a8">
    <w:name w:val="Balloon Text"/>
    <w:basedOn w:val="a"/>
    <w:link w:val="a9"/>
    <w:uiPriority w:val="99"/>
    <w:semiHidden/>
    <w:unhideWhenUsed/>
    <w:rsid w:val="001D75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7555"/>
    <w:rPr>
      <w:rFonts w:ascii="Tahoma" w:hAnsi="Tahoma" w:cs="Tahoma"/>
      <w:sz w:val="16"/>
      <w:szCs w:val="16"/>
    </w:rPr>
  </w:style>
  <w:style w:type="character" w:customStyle="1" w:styleId="1">
    <w:name w:val="Обычный (веб) Знак1"/>
    <w:aliases w:val="Обычный (Web) Знак,Обычный (веб)1 Знак1,Normal (Web) Знак,Обычный (веб) Знак Знак,Знак1 Знак Знак1,Знак1 Знак Знак Знак1,Знак1 Знак Знак Знак Знак Знак Знак Знак Знак,Знак1 Знак1,Обычный (Web) Знак Знак Знак Знак Знак Знак Знак"/>
    <w:link w:val="a3"/>
    <w:locked/>
    <w:rsid w:val="00E9538C"/>
    <w:rPr>
      <w:rFonts w:ascii="Times New Roman" w:eastAsia="Times New Roman" w:hAnsi="Times New Roman" w:cs="Times New Roman"/>
      <w:sz w:val="24"/>
      <w:szCs w:val="24"/>
    </w:rPr>
  </w:style>
  <w:style w:type="paragraph" w:styleId="aa">
    <w:name w:val="No Spacing"/>
    <w:link w:val="ab"/>
    <w:uiPriority w:val="1"/>
    <w:qFormat/>
    <w:rsid w:val="00A71E26"/>
    <w:pPr>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Без интервала Знак"/>
    <w:link w:val="aa"/>
    <w:uiPriority w:val="1"/>
    <w:rsid w:val="00A71E2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Normal (Web),Обычный (веб) Знак,Знак1 Знак,Знак1 Знак Знак,Знак1 Знак Знак Знак Знак Знак Знак Знак,Знак1,Обычный (Web) Знак Знак Знак Знак Знак Знак,Обычный (веб)1 Знак,Знак1 Знак Знак Знак, Знак1 Знак, Знак1"/>
    <w:basedOn w:val="a"/>
    <w:link w:val="1"/>
    <w:unhideWhenUsed/>
    <w:qFormat/>
    <w:rsid w:val="00A35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A3505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3505A"/>
    <w:pPr>
      <w:widowControl w:val="0"/>
      <w:shd w:val="clear" w:color="auto" w:fill="FFFFFF"/>
      <w:spacing w:after="120" w:line="302" w:lineRule="exact"/>
    </w:pPr>
    <w:rPr>
      <w:rFonts w:ascii="Times New Roman" w:eastAsia="Times New Roman" w:hAnsi="Times New Roman" w:cs="Times New Roman"/>
      <w:sz w:val="26"/>
      <w:szCs w:val="26"/>
    </w:rPr>
  </w:style>
  <w:style w:type="paragraph" w:styleId="a4">
    <w:name w:val="header"/>
    <w:basedOn w:val="a"/>
    <w:link w:val="a5"/>
    <w:uiPriority w:val="99"/>
    <w:unhideWhenUsed/>
    <w:rsid w:val="00A3505A"/>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3505A"/>
  </w:style>
  <w:style w:type="paragraph" w:styleId="a6">
    <w:name w:val="footer"/>
    <w:basedOn w:val="a"/>
    <w:link w:val="a7"/>
    <w:uiPriority w:val="99"/>
    <w:unhideWhenUsed/>
    <w:rsid w:val="00A3505A"/>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3505A"/>
  </w:style>
  <w:style w:type="paragraph" w:styleId="a8">
    <w:name w:val="Balloon Text"/>
    <w:basedOn w:val="a"/>
    <w:link w:val="a9"/>
    <w:uiPriority w:val="99"/>
    <w:semiHidden/>
    <w:unhideWhenUsed/>
    <w:rsid w:val="001D75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7555"/>
    <w:rPr>
      <w:rFonts w:ascii="Tahoma" w:hAnsi="Tahoma" w:cs="Tahoma"/>
      <w:sz w:val="16"/>
      <w:szCs w:val="16"/>
    </w:rPr>
  </w:style>
  <w:style w:type="character" w:customStyle="1" w:styleId="1">
    <w:name w:val="Обычный (веб) Знак1"/>
    <w:aliases w:val="Обычный (Web) Знак,Обычный (веб)1 Знак1,Normal (Web) Знак,Обычный (веб) Знак Знак,Знак1 Знак Знак1,Знак1 Знак Знак Знак1,Знак1 Знак Знак Знак Знак Знак Знак Знак Знак,Знак1 Знак1,Обычный (Web) Знак Знак Знак Знак Знак Знак Знак"/>
    <w:link w:val="a3"/>
    <w:locked/>
    <w:rsid w:val="00E9538C"/>
    <w:rPr>
      <w:rFonts w:ascii="Times New Roman" w:eastAsia="Times New Roman" w:hAnsi="Times New Roman" w:cs="Times New Roman"/>
      <w:sz w:val="24"/>
      <w:szCs w:val="24"/>
    </w:rPr>
  </w:style>
  <w:style w:type="paragraph" w:styleId="aa">
    <w:name w:val="No Spacing"/>
    <w:link w:val="ab"/>
    <w:uiPriority w:val="1"/>
    <w:qFormat/>
    <w:rsid w:val="00A71E26"/>
    <w:pPr>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Без интервала Знак"/>
    <w:link w:val="aa"/>
    <w:uiPriority w:val="1"/>
    <w:rsid w:val="00A71E2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1979</Words>
  <Characters>1129</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d99-13-voitenko</dc:creator>
  <cp:lastModifiedBy>ГОНЧАРОВА НАТАЛІЯ ОЛЕКСАНДРІВНА</cp:lastModifiedBy>
  <cp:revision>3</cp:revision>
  <cp:lastPrinted>2020-10-09T12:06:00Z</cp:lastPrinted>
  <dcterms:created xsi:type="dcterms:W3CDTF">2020-10-12T06:29:00Z</dcterms:created>
  <dcterms:modified xsi:type="dcterms:W3CDTF">2020-10-12T06:30:00Z</dcterms:modified>
</cp:coreProperties>
</file>