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12F3" w14:textId="4ED8875A" w:rsidR="00F21DCB" w:rsidRDefault="00F0029A">
      <w:pPr>
        <w:spacing w:before="78"/>
        <w:ind w:left="1063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30923D5" wp14:editId="652EC8C1">
                <wp:simplePos x="0" y="0"/>
                <wp:positionH relativeFrom="page">
                  <wp:posOffset>537210</wp:posOffset>
                </wp:positionH>
                <wp:positionV relativeFrom="paragraph">
                  <wp:posOffset>38100</wp:posOffset>
                </wp:positionV>
                <wp:extent cx="1498600" cy="463550"/>
                <wp:effectExtent l="0" t="0" r="0" b="0"/>
                <wp:wrapNone/>
                <wp:docPr id="18698310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055"/>
                            </w:tblGrid>
                            <w:tr w:rsidR="00F21DCB" w14:paraId="53BF1AEB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85" w:type="dxa"/>
                                </w:tcPr>
                                <w:p w14:paraId="35B35065" w14:textId="77777777" w:rsidR="00F21DCB" w:rsidRDefault="00F0029A">
                                  <w:pPr>
                                    <w:pStyle w:val="TableParagraph"/>
                                    <w:spacing w:before="4" w:line="200" w:lineRule="exact"/>
                                    <w:ind w:left="4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3B1FF321" w14:textId="77777777" w:rsidR="00F21DCB" w:rsidRDefault="00F0029A">
                                  <w:pPr>
                                    <w:pStyle w:val="TableParagraph"/>
                                    <w:spacing w:before="4" w:line="200" w:lineRule="exact"/>
                                    <w:ind w:left="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Звітна</w:t>
                                  </w:r>
                                </w:p>
                              </w:tc>
                            </w:tr>
                            <w:tr w:rsidR="00F21DCB" w14:paraId="188C0FA4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285" w:type="dxa"/>
                                </w:tcPr>
                                <w:p w14:paraId="657892B8" w14:textId="77777777" w:rsidR="00F21DCB" w:rsidRDefault="00F0029A">
                                  <w:pPr>
                                    <w:pStyle w:val="TableParagraph"/>
                                    <w:spacing w:before="4" w:line="200" w:lineRule="exact"/>
                                    <w:ind w:lef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5DA18584" w14:textId="77777777" w:rsidR="00F21DCB" w:rsidRDefault="00F0029A">
                                  <w:pPr>
                                    <w:pStyle w:val="TableParagraph"/>
                                    <w:spacing w:before="4" w:line="200" w:lineRule="exact"/>
                                    <w:ind w:left="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Звітна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нова</w:t>
                                  </w:r>
                                </w:p>
                              </w:tc>
                            </w:tr>
                            <w:tr w:rsidR="00F21DCB" w14:paraId="3DAD2FA1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285" w:type="dxa"/>
                                </w:tcPr>
                                <w:p w14:paraId="5040D5A0" w14:textId="77777777" w:rsidR="00F21DCB" w:rsidRDefault="00F0029A">
                                  <w:pPr>
                                    <w:pStyle w:val="TableParagraph"/>
                                    <w:spacing w:before="4" w:line="200" w:lineRule="exact"/>
                                    <w:ind w:lef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62504D2A" w14:textId="77777777" w:rsidR="00F21DCB" w:rsidRDefault="00F0029A">
                                  <w:pPr>
                                    <w:pStyle w:val="TableParagraph"/>
                                    <w:spacing w:before="4" w:line="200" w:lineRule="exact"/>
                                    <w:ind w:left="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Уточнююча</w:t>
                                  </w:r>
                                </w:p>
                              </w:tc>
                            </w:tr>
                          </w:tbl>
                          <w:p w14:paraId="3809187E" w14:textId="77777777" w:rsidR="00F21DCB" w:rsidRDefault="00F21DC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923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3pt;margin-top:3pt;width:118pt;height:36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055"/>
                      </w:tblGrid>
                      <w:tr w:rsidR="00F21DCB" w14:paraId="53BF1AEB" w14:textId="77777777">
                        <w:trPr>
                          <w:trHeight w:val="224"/>
                        </w:trPr>
                        <w:tc>
                          <w:tcPr>
                            <w:tcW w:w="285" w:type="dxa"/>
                          </w:tcPr>
                          <w:p w14:paraId="35B35065" w14:textId="77777777" w:rsidR="00F21DCB" w:rsidRDefault="00F0029A">
                            <w:pPr>
                              <w:pStyle w:val="TableParagraph"/>
                              <w:spacing w:before="4" w:line="200" w:lineRule="exact"/>
                              <w:ind w:left="4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3B1FF321" w14:textId="77777777" w:rsidR="00F21DCB" w:rsidRDefault="00F0029A">
                            <w:pPr>
                              <w:pStyle w:val="TableParagraph"/>
                              <w:spacing w:before="4" w:line="200" w:lineRule="exact"/>
                              <w:ind w:left="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Звітна</w:t>
                            </w:r>
                          </w:p>
                        </w:tc>
                      </w:tr>
                      <w:tr w:rsidR="00F21DCB" w14:paraId="188C0FA4" w14:textId="77777777">
                        <w:trPr>
                          <w:trHeight w:val="223"/>
                        </w:trPr>
                        <w:tc>
                          <w:tcPr>
                            <w:tcW w:w="285" w:type="dxa"/>
                          </w:tcPr>
                          <w:p w14:paraId="657892B8" w14:textId="77777777" w:rsidR="00F21DCB" w:rsidRDefault="00F0029A">
                            <w:pPr>
                              <w:pStyle w:val="TableParagraph"/>
                              <w:spacing w:before="4" w:line="200" w:lineRule="exact"/>
                              <w:ind w:lef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5DA18584" w14:textId="77777777" w:rsidR="00F21DCB" w:rsidRDefault="00F0029A">
                            <w:pPr>
                              <w:pStyle w:val="TableParagraph"/>
                              <w:spacing w:before="4" w:line="200" w:lineRule="exact"/>
                              <w:ind w:left="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Звітна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нова</w:t>
                            </w:r>
                          </w:p>
                        </w:tc>
                      </w:tr>
                      <w:tr w:rsidR="00F21DCB" w14:paraId="3DAD2FA1" w14:textId="77777777">
                        <w:trPr>
                          <w:trHeight w:val="223"/>
                        </w:trPr>
                        <w:tc>
                          <w:tcPr>
                            <w:tcW w:w="285" w:type="dxa"/>
                          </w:tcPr>
                          <w:p w14:paraId="5040D5A0" w14:textId="77777777" w:rsidR="00F21DCB" w:rsidRDefault="00F0029A">
                            <w:pPr>
                              <w:pStyle w:val="TableParagraph"/>
                              <w:spacing w:before="4" w:line="200" w:lineRule="exact"/>
                              <w:ind w:lef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62504D2A" w14:textId="77777777" w:rsidR="00F21DCB" w:rsidRDefault="00F0029A">
                            <w:pPr>
                              <w:pStyle w:val="TableParagraph"/>
                              <w:spacing w:before="4" w:line="200" w:lineRule="exact"/>
                              <w:ind w:left="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Уточнююча</w:t>
                            </w:r>
                          </w:p>
                        </w:tc>
                      </w:tr>
                    </w:tbl>
                    <w:p w14:paraId="3809187E" w14:textId="77777777" w:rsidR="00F21DCB" w:rsidRDefault="00F21DC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Додаток</w:t>
      </w:r>
      <w:r>
        <w:rPr>
          <w:spacing w:val="-4"/>
          <w:sz w:val="19"/>
        </w:rPr>
        <w:t xml:space="preserve"> </w:t>
      </w:r>
      <w:r>
        <w:rPr>
          <w:sz w:val="19"/>
        </w:rPr>
        <w:t>РІ</w:t>
      </w:r>
    </w:p>
    <w:p w14:paraId="2C98E918" w14:textId="77777777" w:rsidR="00F21DCB" w:rsidRDefault="00F0029A">
      <w:pPr>
        <w:spacing w:before="21" w:line="261" w:lineRule="auto"/>
        <w:ind w:left="10637" w:right="2293"/>
        <w:rPr>
          <w:sz w:val="19"/>
        </w:rPr>
      </w:pPr>
      <w:r>
        <w:rPr>
          <w:sz w:val="19"/>
        </w:rPr>
        <w:t>до</w:t>
      </w:r>
      <w:r>
        <w:rPr>
          <w:spacing w:val="-7"/>
          <w:sz w:val="19"/>
        </w:rPr>
        <w:t xml:space="preserve"> </w:t>
      </w:r>
      <w:r>
        <w:rPr>
          <w:sz w:val="19"/>
        </w:rPr>
        <w:t>рядка</w:t>
      </w:r>
      <w:r>
        <w:rPr>
          <w:spacing w:val="-7"/>
          <w:sz w:val="19"/>
        </w:rPr>
        <w:t xml:space="preserve"> </w:t>
      </w:r>
      <w:r>
        <w:rPr>
          <w:sz w:val="19"/>
        </w:rPr>
        <w:t>03</w:t>
      </w:r>
      <w:r>
        <w:rPr>
          <w:spacing w:val="-7"/>
          <w:sz w:val="19"/>
        </w:rPr>
        <w:t xml:space="preserve"> </w:t>
      </w:r>
      <w:r>
        <w:rPr>
          <w:sz w:val="19"/>
        </w:rPr>
        <w:t>РІ</w:t>
      </w:r>
      <w:r>
        <w:rPr>
          <w:spacing w:val="-6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-7"/>
          <w:sz w:val="19"/>
        </w:rPr>
        <w:t xml:space="preserve"> </w:t>
      </w:r>
      <w:r>
        <w:rPr>
          <w:sz w:val="19"/>
        </w:rPr>
        <w:t>декларації</w:t>
      </w:r>
      <w:r>
        <w:rPr>
          <w:spacing w:val="-45"/>
          <w:sz w:val="19"/>
        </w:rPr>
        <w:t xml:space="preserve"> </w:t>
      </w:r>
      <w:r>
        <w:rPr>
          <w:sz w:val="19"/>
        </w:rPr>
        <w:t>з</w:t>
      </w:r>
      <w:r>
        <w:rPr>
          <w:spacing w:val="-4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-3"/>
          <w:sz w:val="19"/>
        </w:rPr>
        <w:t xml:space="preserve"> </w:t>
      </w:r>
      <w:r>
        <w:rPr>
          <w:sz w:val="19"/>
        </w:rPr>
        <w:t>на</w:t>
      </w:r>
      <w:r>
        <w:rPr>
          <w:spacing w:val="-3"/>
          <w:sz w:val="19"/>
        </w:rPr>
        <w:t xml:space="preserve"> </w:t>
      </w:r>
      <w:r>
        <w:rPr>
          <w:sz w:val="19"/>
        </w:rPr>
        <w:t>прибуток</w:t>
      </w:r>
      <w:r>
        <w:rPr>
          <w:spacing w:val="-4"/>
          <w:sz w:val="19"/>
        </w:rPr>
        <w:t xml:space="preserve"> </w:t>
      </w:r>
      <w:r>
        <w:rPr>
          <w:sz w:val="19"/>
        </w:rPr>
        <w:t>підприємств</w:t>
      </w:r>
    </w:p>
    <w:p w14:paraId="0132F804" w14:textId="77777777" w:rsidR="00F21DCB" w:rsidRDefault="00F21DCB">
      <w:pPr>
        <w:pStyle w:val="a3"/>
        <w:spacing w:before="1"/>
        <w:rPr>
          <w:sz w:val="18"/>
        </w:rPr>
      </w:pPr>
    </w:p>
    <w:p w14:paraId="1B617112" w14:textId="77777777" w:rsidR="00F21DCB" w:rsidRDefault="00F21DCB">
      <w:pPr>
        <w:rPr>
          <w:sz w:val="18"/>
        </w:rPr>
        <w:sectPr w:rsidR="00F21DCB">
          <w:type w:val="continuous"/>
          <w:pgSz w:w="16820" w:h="11900" w:orient="landscape"/>
          <w:pgMar w:top="500" w:right="440" w:bottom="280" w:left="460" w:header="708" w:footer="708" w:gutter="0"/>
          <w:cols w:space="720"/>
        </w:sectPr>
      </w:pPr>
    </w:p>
    <w:p w14:paraId="043B7B30" w14:textId="61A32FC5" w:rsidR="00F21DCB" w:rsidRDefault="00F0029A">
      <w:pPr>
        <w:pStyle w:val="1"/>
        <w:spacing w:before="114" w:line="208" w:lineRule="auto"/>
        <w:ind w:left="392"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B0758E" wp14:editId="4A9217AD">
                <wp:simplePos x="0" y="0"/>
                <wp:positionH relativeFrom="page">
                  <wp:posOffset>8037195</wp:posOffset>
                </wp:positionH>
                <wp:positionV relativeFrom="paragraph">
                  <wp:posOffset>337820</wp:posOffset>
                </wp:positionV>
                <wp:extent cx="476250" cy="0"/>
                <wp:effectExtent l="0" t="0" r="0" b="0"/>
                <wp:wrapNone/>
                <wp:docPr id="11730068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A62C9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2.85pt,26.6pt" to="670.3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" strokeweight=".228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9A6D87" wp14:editId="27449F06">
                <wp:simplePos x="0" y="0"/>
                <wp:positionH relativeFrom="page">
                  <wp:posOffset>541020</wp:posOffset>
                </wp:positionH>
                <wp:positionV relativeFrom="paragraph">
                  <wp:posOffset>337820</wp:posOffset>
                </wp:positionV>
                <wp:extent cx="1437640" cy="153035"/>
                <wp:effectExtent l="0" t="0" r="0" b="0"/>
                <wp:wrapNone/>
                <wp:docPr id="7599309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53035"/>
                        </a:xfrm>
                        <a:prstGeom prst="rect">
                          <a:avLst/>
                        </a:prstGeom>
                        <a:noFill/>
                        <a:ln w="82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EA989" w14:textId="2509B619" w:rsidR="00F21DCB" w:rsidRDefault="00F21DCB">
                            <w:pPr>
                              <w:spacing w:before="5"/>
                              <w:ind w:left="747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A6D87" id="Text Box 4" o:spid="_x0000_s1027" type="#_x0000_t202" style="position:absolute;left:0;text-align:left;margin-left:42.6pt;margin-top:26.6pt;width:113.2pt;height:1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" filled="f" strokeweight=".22861mm">
                <v:textbox inset="0,0,0,0">
                  <w:txbxContent>
                    <w:p w14:paraId="486EA989" w14:textId="2509B619" w:rsidR="00F21DCB" w:rsidRDefault="00F21DCB">
                      <w:pPr>
                        <w:spacing w:before="5"/>
                        <w:ind w:left="747"/>
                        <w:rPr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Податковий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серія</w:t>
      </w:r>
      <w:r>
        <w:rPr>
          <w:spacing w:val="-4"/>
        </w:rPr>
        <w:t xml:space="preserve"> </w:t>
      </w:r>
      <w:r>
        <w:t>(за</w:t>
      </w:r>
      <w:r>
        <w:rPr>
          <w:spacing w:val="-39"/>
        </w:rPr>
        <w:t xml:space="preserve"> </w:t>
      </w:r>
      <w:r>
        <w:t>наявності) та номер паспорта</w:t>
      </w:r>
    </w:p>
    <w:p w14:paraId="78F18F87" w14:textId="77777777" w:rsidR="00F21DCB" w:rsidRDefault="00F0029A">
      <w:pPr>
        <w:tabs>
          <w:tab w:val="left" w:pos="3100"/>
        </w:tabs>
        <w:spacing w:before="93"/>
        <w:ind w:left="392"/>
        <w:rPr>
          <w:sz w:val="19"/>
        </w:rPr>
      </w:pPr>
      <w:r>
        <w:br w:type="column"/>
      </w:r>
      <w:r>
        <w:rPr>
          <w:sz w:val="19"/>
        </w:rPr>
        <w:t>Звітний</w:t>
      </w:r>
      <w:r>
        <w:rPr>
          <w:spacing w:val="41"/>
          <w:sz w:val="19"/>
        </w:rPr>
        <w:t xml:space="preserve"> </w:t>
      </w:r>
      <w:r>
        <w:rPr>
          <w:sz w:val="19"/>
        </w:rPr>
        <w:t>(податковий)</w:t>
      </w:r>
      <w:r>
        <w:rPr>
          <w:spacing w:val="-3"/>
          <w:sz w:val="19"/>
        </w:rPr>
        <w:t xml:space="preserve"> </w:t>
      </w:r>
      <w:r>
        <w:rPr>
          <w:sz w:val="19"/>
        </w:rPr>
        <w:t>період</w:t>
      </w:r>
      <w:r>
        <w:rPr>
          <w:sz w:val="19"/>
        </w:rPr>
        <w:tab/>
        <w:t xml:space="preserve">2024   </w:t>
      </w:r>
      <w:r>
        <w:rPr>
          <w:spacing w:val="4"/>
          <w:sz w:val="19"/>
        </w:rPr>
        <w:t xml:space="preserve"> </w:t>
      </w:r>
      <w:r>
        <w:rPr>
          <w:sz w:val="19"/>
        </w:rPr>
        <w:t>року</w:t>
      </w:r>
    </w:p>
    <w:p w14:paraId="661C213E" w14:textId="77777777" w:rsidR="00F21DCB" w:rsidRDefault="00F21DCB">
      <w:pPr>
        <w:rPr>
          <w:sz w:val="19"/>
        </w:rPr>
        <w:sectPr w:rsidR="00F21DCB">
          <w:type w:val="continuous"/>
          <w:pgSz w:w="16820" w:h="11900" w:orient="landscape"/>
          <w:pgMar w:top="500" w:right="440" w:bottom="280" w:left="460" w:header="708" w:footer="708" w:gutter="0"/>
          <w:cols w:num="2" w:space="720" w:equalWidth="0">
            <w:col w:w="2727" w:space="6568"/>
            <w:col w:w="6625"/>
          </w:cols>
        </w:sectPr>
      </w:pPr>
    </w:p>
    <w:p w14:paraId="60343F08" w14:textId="77777777" w:rsidR="00F21DCB" w:rsidRDefault="00F21DCB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8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140"/>
        <w:gridCol w:w="285"/>
        <w:gridCol w:w="1590"/>
        <w:gridCol w:w="285"/>
        <w:gridCol w:w="1710"/>
        <w:gridCol w:w="285"/>
        <w:gridCol w:w="1638"/>
      </w:tblGrid>
      <w:tr w:rsidR="00F21DCB" w14:paraId="32002DA5" w14:textId="77777777">
        <w:trPr>
          <w:trHeight w:val="224"/>
        </w:trPr>
        <w:tc>
          <w:tcPr>
            <w:tcW w:w="285" w:type="dxa"/>
          </w:tcPr>
          <w:p w14:paraId="4F630B3E" w14:textId="77777777" w:rsidR="00F21DCB" w:rsidRDefault="00F0029A">
            <w:pPr>
              <w:pStyle w:val="TableParagraph"/>
              <w:spacing w:before="4" w:line="200" w:lineRule="exact"/>
              <w:ind w:left="73"/>
              <w:rPr>
                <w:sz w:val="19"/>
              </w:rPr>
            </w:pPr>
            <w:r>
              <w:rPr>
                <w:w w:val="99"/>
                <w:sz w:val="19"/>
              </w:rPr>
              <w:t>X</w:t>
            </w:r>
          </w:p>
        </w:tc>
        <w:tc>
          <w:tcPr>
            <w:tcW w:w="1140" w:type="dxa"/>
          </w:tcPr>
          <w:p w14:paraId="25B33499" w14:textId="77777777" w:rsidR="00F21DCB" w:rsidRDefault="00F0029A">
            <w:pPr>
              <w:pStyle w:val="TableParagraph"/>
              <w:spacing w:before="4" w:line="200" w:lineRule="exact"/>
              <w:ind w:left="199"/>
              <w:rPr>
                <w:sz w:val="19"/>
              </w:rPr>
            </w:pPr>
            <w:r>
              <w:rPr>
                <w:sz w:val="19"/>
              </w:rPr>
              <w:t>І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квартал</w:t>
            </w:r>
          </w:p>
        </w:tc>
        <w:tc>
          <w:tcPr>
            <w:tcW w:w="285" w:type="dxa"/>
          </w:tcPr>
          <w:p w14:paraId="66F59AB6" w14:textId="77777777" w:rsidR="00F21DCB" w:rsidRDefault="00F0029A">
            <w:pPr>
              <w:pStyle w:val="TableParagraph"/>
              <w:spacing w:before="4" w:line="200" w:lineRule="exact"/>
              <w:ind w:left="133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590" w:type="dxa"/>
          </w:tcPr>
          <w:p w14:paraId="773D1CBE" w14:textId="77777777" w:rsidR="00F21DCB" w:rsidRDefault="00F0029A">
            <w:pPr>
              <w:pStyle w:val="TableParagraph"/>
              <w:spacing w:before="4" w:line="200" w:lineRule="exact"/>
              <w:ind w:left="302"/>
              <w:rPr>
                <w:sz w:val="19"/>
              </w:rPr>
            </w:pPr>
            <w:r>
              <w:rPr>
                <w:sz w:val="19"/>
              </w:rPr>
              <w:t>Півріччя</w:t>
            </w:r>
          </w:p>
        </w:tc>
        <w:tc>
          <w:tcPr>
            <w:tcW w:w="285" w:type="dxa"/>
          </w:tcPr>
          <w:p w14:paraId="7E84A30D" w14:textId="77777777" w:rsidR="00F21DCB" w:rsidRDefault="00F0029A">
            <w:pPr>
              <w:pStyle w:val="TableParagraph"/>
              <w:spacing w:before="4" w:line="200" w:lineRule="exact"/>
              <w:ind w:left="133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710" w:type="dxa"/>
          </w:tcPr>
          <w:p w14:paraId="417017A5" w14:textId="77777777" w:rsidR="00F21DCB" w:rsidRDefault="00F0029A">
            <w:pPr>
              <w:pStyle w:val="TableParagraph"/>
              <w:spacing w:before="4" w:line="200" w:lineRule="exact"/>
              <w:ind w:left="225"/>
              <w:rPr>
                <w:sz w:val="19"/>
              </w:rPr>
            </w:pPr>
            <w:r>
              <w:rPr>
                <w:sz w:val="19"/>
              </w:rPr>
              <w:t>Три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квартали</w:t>
            </w:r>
          </w:p>
        </w:tc>
        <w:tc>
          <w:tcPr>
            <w:tcW w:w="285" w:type="dxa"/>
          </w:tcPr>
          <w:p w14:paraId="0447DA67" w14:textId="77777777" w:rsidR="00F21DCB" w:rsidRDefault="00F0029A">
            <w:pPr>
              <w:pStyle w:val="TableParagraph"/>
              <w:spacing w:before="4" w:line="200" w:lineRule="exact"/>
              <w:ind w:left="133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638" w:type="dxa"/>
          </w:tcPr>
          <w:p w14:paraId="53926381" w14:textId="77777777" w:rsidR="00F21DCB" w:rsidRDefault="00F0029A">
            <w:pPr>
              <w:pStyle w:val="TableParagraph"/>
              <w:spacing w:before="4" w:line="200" w:lineRule="exact"/>
              <w:ind w:left="549" w:right="783"/>
              <w:jc w:val="center"/>
              <w:rPr>
                <w:sz w:val="19"/>
              </w:rPr>
            </w:pPr>
            <w:r>
              <w:rPr>
                <w:sz w:val="19"/>
              </w:rPr>
              <w:t>Рік</w:t>
            </w:r>
          </w:p>
        </w:tc>
      </w:tr>
    </w:tbl>
    <w:p w14:paraId="4BE3EE5B" w14:textId="77777777" w:rsidR="00F21DCB" w:rsidRDefault="00F0029A">
      <w:pPr>
        <w:pStyle w:val="a4"/>
      </w:pPr>
      <w:r>
        <w:rPr>
          <w:w w:val="105"/>
        </w:rPr>
        <w:t>Різниці</w:t>
      </w:r>
    </w:p>
    <w:p w14:paraId="023BE39E" w14:textId="77777777" w:rsidR="00F21DCB" w:rsidRDefault="00F21DCB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353"/>
        <w:gridCol w:w="1382"/>
        <w:gridCol w:w="840"/>
        <w:gridCol w:w="5708"/>
        <w:gridCol w:w="1582"/>
      </w:tblGrid>
      <w:tr w:rsidR="00F21DCB" w14:paraId="11DED7BC" w14:textId="77777777">
        <w:trPr>
          <w:trHeight w:val="225"/>
        </w:trPr>
        <w:tc>
          <w:tcPr>
            <w:tcW w:w="7560" w:type="dxa"/>
            <w:gridSpan w:val="3"/>
          </w:tcPr>
          <w:p w14:paraId="4E97CD9C" w14:textId="77777777" w:rsidR="00F21DCB" w:rsidRDefault="00F0029A">
            <w:pPr>
              <w:pStyle w:val="TableParagraph"/>
              <w:spacing w:before="3"/>
              <w:ind w:left="1832"/>
              <w:rPr>
                <w:b/>
                <w:sz w:val="17"/>
              </w:rPr>
            </w:pPr>
            <w:r>
              <w:rPr>
                <w:b/>
                <w:sz w:val="17"/>
              </w:rPr>
              <w:t>Різниці, на які збільшується фінансовий результат</w:t>
            </w:r>
          </w:p>
        </w:tc>
        <w:tc>
          <w:tcPr>
            <w:tcW w:w="8130" w:type="dxa"/>
            <w:gridSpan w:val="3"/>
          </w:tcPr>
          <w:p w14:paraId="30B7AFC5" w14:textId="77777777" w:rsidR="00F21DCB" w:rsidRDefault="00F0029A">
            <w:pPr>
              <w:pStyle w:val="TableParagraph"/>
              <w:spacing w:before="3"/>
              <w:ind w:left="2111" w:right="20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Різниці, на які зменшується фінансовий результат</w:t>
            </w:r>
          </w:p>
        </w:tc>
      </w:tr>
      <w:tr w:rsidR="00F21DCB" w14:paraId="5CE0AC3C" w14:textId="77777777">
        <w:trPr>
          <w:trHeight w:val="226"/>
        </w:trPr>
        <w:tc>
          <w:tcPr>
            <w:tcW w:w="825" w:type="dxa"/>
          </w:tcPr>
          <w:p w14:paraId="2D06FF7F" w14:textId="77777777" w:rsidR="00F21DCB" w:rsidRDefault="00F0029A">
            <w:pPr>
              <w:pStyle w:val="TableParagraph"/>
              <w:spacing w:before="3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код</w:t>
            </w:r>
          </w:p>
        </w:tc>
        <w:tc>
          <w:tcPr>
            <w:tcW w:w="5353" w:type="dxa"/>
          </w:tcPr>
          <w:p w14:paraId="00846775" w14:textId="77777777" w:rsidR="00F21DCB" w:rsidRDefault="00F0029A">
            <w:pPr>
              <w:pStyle w:val="TableParagraph"/>
              <w:spacing w:before="3"/>
              <w:ind w:left="2157" w:right="211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назва різниці</w:t>
            </w:r>
          </w:p>
        </w:tc>
        <w:tc>
          <w:tcPr>
            <w:tcW w:w="1382" w:type="dxa"/>
          </w:tcPr>
          <w:p w14:paraId="7281AF72" w14:textId="77777777" w:rsidR="00F21DCB" w:rsidRDefault="00F0029A">
            <w:pPr>
              <w:pStyle w:val="TableParagraph"/>
              <w:spacing w:before="3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сума</w:t>
            </w:r>
          </w:p>
        </w:tc>
        <w:tc>
          <w:tcPr>
            <w:tcW w:w="840" w:type="dxa"/>
          </w:tcPr>
          <w:p w14:paraId="74348E3D" w14:textId="77777777" w:rsidR="00F21DCB" w:rsidRDefault="00F0029A">
            <w:pPr>
              <w:pStyle w:val="TableParagraph"/>
              <w:spacing w:before="3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код</w:t>
            </w:r>
          </w:p>
        </w:tc>
        <w:tc>
          <w:tcPr>
            <w:tcW w:w="5708" w:type="dxa"/>
          </w:tcPr>
          <w:p w14:paraId="1F41C036" w14:textId="77777777" w:rsidR="00F21DCB" w:rsidRDefault="00F0029A">
            <w:pPr>
              <w:pStyle w:val="TableParagraph"/>
              <w:spacing w:before="3"/>
              <w:ind w:left="2334" w:right="22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назва різниці</w:t>
            </w:r>
          </w:p>
        </w:tc>
        <w:tc>
          <w:tcPr>
            <w:tcW w:w="1582" w:type="dxa"/>
          </w:tcPr>
          <w:p w14:paraId="38778972" w14:textId="77777777" w:rsidR="00F21DCB" w:rsidRDefault="00F0029A">
            <w:pPr>
              <w:pStyle w:val="TableParagraph"/>
              <w:spacing w:before="3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сума</w:t>
            </w:r>
          </w:p>
        </w:tc>
      </w:tr>
      <w:tr w:rsidR="00F21DCB" w14:paraId="5166CE9B" w14:textId="77777777">
        <w:trPr>
          <w:trHeight w:val="225"/>
        </w:trPr>
        <w:tc>
          <w:tcPr>
            <w:tcW w:w="15690" w:type="dxa"/>
            <w:gridSpan w:val="6"/>
          </w:tcPr>
          <w:p w14:paraId="323C6120" w14:textId="77777777" w:rsidR="00F21DCB" w:rsidRDefault="00F0029A">
            <w:pPr>
              <w:pStyle w:val="TableParagraph"/>
              <w:spacing w:before="3"/>
              <w:ind w:left="2823"/>
              <w:rPr>
                <w:b/>
                <w:sz w:val="17"/>
              </w:rPr>
            </w:pPr>
            <w:r>
              <w:rPr>
                <w:b/>
                <w:sz w:val="17"/>
              </w:rPr>
              <w:t>1. Різниці, які виникають при нарахуванні амортизації необоротних активів (стаття 138 розділу ІІІ Податкового кодексу України)</w:t>
            </w:r>
          </w:p>
        </w:tc>
      </w:tr>
      <w:tr w:rsidR="00F21DCB" w14:paraId="5B08B8D7" w14:textId="77777777">
        <w:trPr>
          <w:trHeight w:val="1125"/>
        </w:trPr>
        <w:tc>
          <w:tcPr>
            <w:tcW w:w="825" w:type="dxa"/>
          </w:tcPr>
          <w:p w14:paraId="7011032C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1.1.1</w:t>
            </w:r>
          </w:p>
        </w:tc>
        <w:tc>
          <w:tcPr>
            <w:tcW w:w="5353" w:type="dxa"/>
          </w:tcPr>
          <w:p w14:paraId="57B39A48" w14:textId="77777777" w:rsidR="00F21DCB" w:rsidRDefault="00F0029A">
            <w:pPr>
              <w:pStyle w:val="TableParagraph"/>
              <w:spacing w:before="24" w:line="208" w:lineRule="auto"/>
              <w:ind w:left="24" w:right="351"/>
              <w:rPr>
                <w:sz w:val="17"/>
              </w:rPr>
            </w:pPr>
            <w:r>
              <w:rPr>
                <w:sz w:val="17"/>
              </w:rPr>
              <w:t>Сума нарахованої амортизації основних засобів або нематеріальних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активів відповідно до національних положень (стандартів)</w:t>
            </w:r>
          </w:p>
          <w:p w14:paraId="20329A32" w14:textId="77777777" w:rsidR="00F21DCB" w:rsidRDefault="00F0029A">
            <w:pPr>
              <w:pStyle w:val="TableParagraph"/>
              <w:spacing w:line="208" w:lineRule="auto"/>
              <w:ind w:left="24" w:right="-33"/>
              <w:rPr>
                <w:sz w:val="17"/>
              </w:rPr>
            </w:pPr>
            <w:r>
              <w:rPr>
                <w:sz w:val="17"/>
              </w:rPr>
              <w:t>бухгалтерського обліку або міжнародних стандартів фінансової звітності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(пункт 138.1 статті 138 розділу ІІІ Податкового кодексу України)</w:t>
            </w:r>
          </w:p>
        </w:tc>
        <w:tc>
          <w:tcPr>
            <w:tcW w:w="1382" w:type="dxa"/>
          </w:tcPr>
          <w:p w14:paraId="50522211" w14:textId="5E73AB60" w:rsidR="00F21DCB" w:rsidRDefault="00455CDF">
            <w:pPr>
              <w:pStyle w:val="TableParagraph"/>
              <w:spacing w:before="3"/>
              <w:ind w:right="385"/>
              <w:jc w:val="right"/>
              <w:rPr>
                <w:sz w:val="17"/>
              </w:rPr>
            </w:pPr>
            <w:r>
              <w:rPr>
                <w:sz w:val="17"/>
              </w:rPr>
              <w:t>400 000</w:t>
            </w:r>
          </w:p>
        </w:tc>
        <w:tc>
          <w:tcPr>
            <w:tcW w:w="840" w:type="dxa"/>
          </w:tcPr>
          <w:p w14:paraId="79F1BEF6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1.2.1 АМ</w:t>
            </w:r>
          </w:p>
        </w:tc>
        <w:tc>
          <w:tcPr>
            <w:tcW w:w="5708" w:type="dxa"/>
          </w:tcPr>
          <w:p w14:paraId="4A37ECEF" w14:textId="77777777" w:rsidR="00F21DCB" w:rsidRDefault="00F0029A">
            <w:pPr>
              <w:pStyle w:val="TableParagraph"/>
              <w:spacing w:before="24" w:line="208" w:lineRule="auto"/>
              <w:ind w:left="24" w:right="62"/>
              <w:rPr>
                <w:sz w:val="17"/>
              </w:rPr>
            </w:pPr>
            <w:proofErr w:type="spellStart"/>
            <w:r>
              <w:rPr>
                <w:sz w:val="17"/>
              </w:rPr>
              <w:t>Cума</w:t>
            </w:r>
            <w:proofErr w:type="spellEnd"/>
            <w:r>
              <w:rPr>
                <w:sz w:val="17"/>
              </w:rPr>
              <w:t xml:space="preserve"> розрахованої амортизації основних засобів або нематеріальних активів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відповідно до пункту 138.3 статті 138 розділу ІІІ Податкового кодексу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України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(пункт 138.2 статті 138 розділу ІІІ Податкового кодексу України)</w:t>
            </w:r>
          </w:p>
        </w:tc>
        <w:tc>
          <w:tcPr>
            <w:tcW w:w="1582" w:type="dxa"/>
          </w:tcPr>
          <w:p w14:paraId="5E89798B" w14:textId="77777777" w:rsidR="00F21DCB" w:rsidRDefault="00F0029A">
            <w:pPr>
              <w:pStyle w:val="TableParagraph"/>
              <w:spacing w:before="3"/>
              <w:ind w:right="485"/>
              <w:jc w:val="right"/>
              <w:rPr>
                <w:sz w:val="17"/>
              </w:rPr>
            </w:pPr>
            <w:r>
              <w:rPr>
                <w:sz w:val="17"/>
              </w:rPr>
              <w:t>380 000</w:t>
            </w:r>
          </w:p>
        </w:tc>
      </w:tr>
      <w:tr w:rsidR="00F21DCB" w14:paraId="7D7D1640" w14:textId="77777777">
        <w:trPr>
          <w:trHeight w:val="1126"/>
        </w:trPr>
        <w:tc>
          <w:tcPr>
            <w:tcW w:w="825" w:type="dxa"/>
          </w:tcPr>
          <w:p w14:paraId="78A7E6CB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1.1.1.1</w:t>
            </w:r>
          </w:p>
        </w:tc>
        <w:tc>
          <w:tcPr>
            <w:tcW w:w="5353" w:type="dxa"/>
          </w:tcPr>
          <w:p w14:paraId="5C4E0004" w14:textId="77777777" w:rsidR="00F21DCB" w:rsidRDefault="00F0029A">
            <w:pPr>
              <w:pStyle w:val="TableParagraph"/>
              <w:spacing w:before="24" w:line="208" w:lineRule="auto"/>
              <w:ind w:left="24" w:right="241"/>
              <w:rPr>
                <w:sz w:val="17"/>
              </w:rPr>
            </w:pPr>
            <w:r>
              <w:rPr>
                <w:sz w:val="17"/>
              </w:rPr>
              <w:t>Сума уцінки та втрат від зменшення корисності основних засобів або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нематеріальних активів, включених до витрат звітного періоду</w:t>
            </w:r>
          </w:p>
          <w:p w14:paraId="3763867A" w14:textId="77777777" w:rsidR="00F21DCB" w:rsidRDefault="00F0029A">
            <w:pPr>
              <w:pStyle w:val="TableParagraph"/>
              <w:spacing w:line="208" w:lineRule="auto"/>
              <w:ind w:left="24" w:right="258"/>
              <w:rPr>
                <w:sz w:val="17"/>
              </w:rPr>
            </w:pPr>
            <w:r>
              <w:rPr>
                <w:sz w:val="17"/>
              </w:rPr>
              <w:t>відповідно до національних положень (стандартів) бухгалтерського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обліку або міжнародних стандартів фінансової звітності (пункт 138.1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статті 138 розділу ІІІ Податкового кодексу України)</w:t>
            </w:r>
          </w:p>
        </w:tc>
        <w:tc>
          <w:tcPr>
            <w:tcW w:w="1382" w:type="dxa"/>
          </w:tcPr>
          <w:p w14:paraId="002AB4D1" w14:textId="77777777" w:rsidR="00F21DCB" w:rsidRDefault="00F0029A">
            <w:pPr>
              <w:pStyle w:val="TableParagraph"/>
              <w:spacing w:before="3"/>
              <w:ind w:left="81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</w:tcPr>
          <w:p w14:paraId="016755C6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1.2.1.1</w:t>
            </w:r>
          </w:p>
        </w:tc>
        <w:tc>
          <w:tcPr>
            <w:tcW w:w="5708" w:type="dxa"/>
          </w:tcPr>
          <w:p w14:paraId="745247F9" w14:textId="77777777" w:rsidR="00F21DCB" w:rsidRDefault="00F0029A">
            <w:pPr>
              <w:pStyle w:val="TableParagraph"/>
              <w:spacing w:before="24" w:line="208" w:lineRule="auto"/>
              <w:ind w:left="24" w:right="83"/>
              <w:rPr>
                <w:sz w:val="17"/>
              </w:rPr>
            </w:pPr>
            <w:r>
              <w:rPr>
                <w:sz w:val="17"/>
              </w:rPr>
              <w:t>Сума дооцінки основних засобів або нематеріальних активів у межах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попередньо віднесених до витрат уцінки відповідно до національних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положень (стандартів) бухгалтерського обліку або міжнародних стандартів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фінансової звітності (пункт 138.2 статті 138 розділу III Податкового кодексу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України)</w:t>
            </w:r>
          </w:p>
        </w:tc>
        <w:tc>
          <w:tcPr>
            <w:tcW w:w="1582" w:type="dxa"/>
          </w:tcPr>
          <w:p w14:paraId="13A008C4" w14:textId="77777777" w:rsidR="00F21DCB" w:rsidRDefault="00F0029A">
            <w:pPr>
              <w:pStyle w:val="TableParagraph"/>
              <w:spacing w:before="3"/>
              <w:ind w:right="485"/>
              <w:jc w:val="right"/>
              <w:rPr>
                <w:sz w:val="17"/>
              </w:rPr>
            </w:pPr>
            <w:r>
              <w:rPr>
                <w:sz w:val="17"/>
              </w:rPr>
              <w:t>900 000</w:t>
            </w:r>
          </w:p>
        </w:tc>
      </w:tr>
      <w:tr w:rsidR="00F21DCB" w14:paraId="324853D7" w14:textId="77777777">
        <w:trPr>
          <w:trHeight w:val="1351"/>
        </w:trPr>
        <w:tc>
          <w:tcPr>
            <w:tcW w:w="825" w:type="dxa"/>
          </w:tcPr>
          <w:p w14:paraId="42CB874B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15120D68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70991B5B" w14:textId="77777777" w:rsidR="00F21DCB" w:rsidRDefault="00F0029A">
            <w:pPr>
              <w:pStyle w:val="TableParagraph"/>
              <w:spacing w:before="118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Х</w:t>
            </w:r>
          </w:p>
        </w:tc>
        <w:tc>
          <w:tcPr>
            <w:tcW w:w="5353" w:type="dxa"/>
          </w:tcPr>
          <w:p w14:paraId="3CBB6453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7C049E23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5833AAAF" w14:textId="77777777" w:rsidR="00F21DCB" w:rsidRDefault="00F0029A">
            <w:pPr>
              <w:pStyle w:val="TableParagraph"/>
              <w:spacing w:before="118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Х</w:t>
            </w:r>
          </w:p>
        </w:tc>
        <w:tc>
          <w:tcPr>
            <w:tcW w:w="1382" w:type="dxa"/>
          </w:tcPr>
          <w:p w14:paraId="5127F316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04A561F8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57AC2BCD" w14:textId="77777777" w:rsidR="00F21DCB" w:rsidRDefault="00F0029A">
            <w:pPr>
              <w:pStyle w:val="TableParagraph"/>
              <w:spacing w:before="118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Х</w:t>
            </w:r>
          </w:p>
        </w:tc>
        <w:tc>
          <w:tcPr>
            <w:tcW w:w="840" w:type="dxa"/>
          </w:tcPr>
          <w:p w14:paraId="031946F8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1.2.1.2</w:t>
            </w:r>
          </w:p>
        </w:tc>
        <w:tc>
          <w:tcPr>
            <w:tcW w:w="5708" w:type="dxa"/>
          </w:tcPr>
          <w:p w14:paraId="7BC4565B" w14:textId="77777777" w:rsidR="00F21DCB" w:rsidRDefault="00F0029A">
            <w:pPr>
              <w:pStyle w:val="TableParagraph"/>
              <w:spacing w:before="24" w:line="208" w:lineRule="auto"/>
              <w:ind w:left="24" w:right="72"/>
              <w:rPr>
                <w:sz w:val="17"/>
              </w:rPr>
            </w:pPr>
            <w:r>
              <w:rPr>
                <w:sz w:val="17"/>
              </w:rPr>
              <w:t>Сума вигід від відновлення корисності основних засобів або нематеріальних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активів у межах попередньо віднесених до витрат втрат від зменшення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корисності основних засобів або нематеріальних активів відповідно до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національних положень (стандартів) бухгалтерського обліку або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міжнародних стандартів фінансової звітності (пункт 138.2 статті 138 розділу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III Податкового кодексу України)</w:t>
            </w:r>
          </w:p>
        </w:tc>
        <w:tc>
          <w:tcPr>
            <w:tcW w:w="1582" w:type="dxa"/>
          </w:tcPr>
          <w:p w14:paraId="3631DF17" w14:textId="77777777" w:rsidR="00F21DCB" w:rsidRDefault="00F0029A">
            <w:pPr>
              <w:pStyle w:val="TableParagraph"/>
              <w:spacing w:before="3"/>
              <w:ind w:left="5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 w:rsidR="00F21DCB" w14:paraId="1A7A1913" w14:textId="77777777">
        <w:trPr>
          <w:trHeight w:val="1351"/>
        </w:trPr>
        <w:tc>
          <w:tcPr>
            <w:tcW w:w="825" w:type="dxa"/>
          </w:tcPr>
          <w:p w14:paraId="1BC53AD2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1.1.2</w:t>
            </w:r>
          </w:p>
        </w:tc>
        <w:tc>
          <w:tcPr>
            <w:tcW w:w="5353" w:type="dxa"/>
          </w:tcPr>
          <w:p w14:paraId="786E4A5A" w14:textId="77777777" w:rsidR="00F21DCB" w:rsidRDefault="00F0029A">
            <w:pPr>
              <w:pStyle w:val="TableParagraph"/>
              <w:spacing w:before="24" w:line="208" w:lineRule="auto"/>
              <w:ind w:left="24" w:right="558"/>
              <w:rPr>
                <w:sz w:val="17"/>
              </w:rPr>
            </w:pPr>
            <w:r>
              <w:rPr>
                <w:sz w:val="17"/>
              </w:rPr>
              <w:t>Сума залишкової вартості окремого об'єкта основних засобів або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нематеріальних активів, визначеної відповідно до національних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положень (стандартів) бухгалтерського обліку або міжнародних</w:t>
            </w:r>
          </w:p>
          <w:p w14:paraId="3A274426" w14:textId="77777777" w:rsidR="00F21DCB" w:rsidRDefault="00F0029A">
            <w:pPr>
              <w:pStyle w:val="TableParagraph"/>
              <w:spacing w:line="208" w:lineRule="auto"/>
              <w:ind w:left="24" w:right="18"/>
              <w:rPr>
                <w:sz w:val="17"/>
              </w:rPr>
            </w:pPr>
            <w:r>
              <w:rPr>
                <w:sz w:val="17"/>
              </w:rPr>
              <w:t xml:space="preserve">стандартів фінансової </w:t>
            </w:r>
            <w:proofErr w:type="spellStart"/>
            <w:r>
              <w:rPr>
                <w:sz w:val="17"/>
              </w:rPr>
              <w:t>звітності,у</w:t>
            </w:r>
            <w:proofErr w:type="spellEnd"/>
            <w:r>
              <w:rPr>
                <w:sz w:val="17"/>
              </w:rPr>
              <w:t xml:space="preserve"> разі ліквідації або продажу такого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об'єкта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(пункт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138.1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статті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138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розділу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ІІІ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Податкового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кодексу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України)</w:t>
            </w:r>
          </w:p>
        </w:tc>
        <w:tc>
          <w:tcPr>
            <w:tcW w:w="1382" w:type="dxa"/>
          </w:tcPr>
          <w:p w14:paraId="0F6E3D8D" w14:textId="77777777" w:rsidR="00F21DCB" w:rsidRDefault="00F0029A">
            <w:pPr>
              <w:pStyle w:val="TableParagraph"/>
              <w:spacing w:before="3"/>
              <w:ind w:right="385"/>
              <w:jc w:val="right"/>
              <w:rPr>
                <w:sz w:val="17"/>
              </w:rPr>
            </w:pPr>
            <w:r>
              <w:rPr>
                <w:sz w:val="17"/>
              </w:rPr>
              <w:t>800 000</w:t>
            </w:r>
          </w:p>
        </w:tc>
        <w:tc>
          <w:tcPr>
            <w:tcW w:w="840" w:type="dxa"/>
          </w:tcPr>
          <w:p w14:paraId="133BF23D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1.2.2</w:t>
            </w:r>
          </w:p>
        </w:tc>
        <w:tc>
          <w:tcPr>
            <w:tcW w:w="5708" w:type="dxa"/>
          </w:tcPr>
          <w:p w14:paraId="7DC8C17C" w14:textId="77777777" w:rsidR="00F21DCB" w:rsidRDefault="00F0029A">
            <w:pPr>
              <w:pStyle w:val="TableParagraph"/>
              <w:spacing w:before="24" w:line="208" w:lineRule="auto"/>
              <w:ind w:left="24" w:right="-1"/>
              <w:rPr>
                <w:sz w:val="17"/>
              </w:rPr>
            </w:pPr>
            <w:proofErr w:type="spellStart"/>
            <w:r>
              <w:rPr>
                <w:sz w:val="17"/>
              </w:rPr>
              <w:t>Cума</w:t>
            </w:r>
            <w:proofErr w:type="spellEnd"/>
            <w:r>
              <w:rPr>
                <w:sz w:val="17"/>
              </w:rPr>
              <w:t xml:space="preserve"> залишкової вартості окремого об’єкта основних засобів або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нематеріальних активів, визначеної з урахуванням положень статті 138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розділу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ІІІ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Податкового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кодексу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України,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разі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ліквідації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або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продажу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такого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об’єкта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(пункт 138.2 статті 138 розділу ІІІ Податкового кодексу України)</w:t>
            </w:r>
          </w:p>
        </w:tc>
        <w:tc>
          <w:tcPr>
            <w:tcW w:w="1582" w:type="dxa"/>
          </w:tcPr>
          <w:p w14:paraId="19B39C26" w14:textId="77777777" w:rsidR="00F21DCB" w:rsidRDefault="00F0029A">
            <w:pPr>
              <w:pStyle w:val="TableParagraph"/>
              <w:spacing w:before="3"/>
              <w:ind w:right="485"/>
              <w:jc w:val="right"/>
              <w:rPr>
                <w:sz w:val="17"/>
              </w:rPr>
            </w:pPr>
            <w:r>
              <w:rPr>
                <w:sz w:val="17"/>
              </w:rPr>
              <w:t>700 000</w:t>
            </w:r>
          </w:p>
        </w:tc>
      </w:tr>
      <w:tr w:rsidR="00F21DCB" w14:paraId="36070B1F" w14:textId="77777777">
        <w:trPr>
          <w:trHeight w:val="2025"/>
        </w:trPr>
        <w:tc>
          <w:tcPr>
            <w:tcW w:w="825" w:type="dxa"/>
          </w:tcPr>
          <w:p w14:paraId="5920BB61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1.1.3</w:t>
            </w:r>
          </w:p>
        </w:tc>
        <w:tc>
          <w:tcPr>
            <w:tcW w:w="5353" w:type="dxa"/>
          </w:tcPr>
          <w:p w14:paraId="57C14B08" w14:textId="77777777" w:rsidR="00F21DCB" w:rsidRDefault="00F0029A">
            <w:pPr>
              <w:pStyle w:val="TableParagraph"/>
              <w:spacing w:before="24" w:line="208" w:lineRule="auto"/>
              <w:ind w:left="22" w:right="329"/>
              <w:rPr>
                <w:sz w:val="17"/>
              </w:rPr>
            </w:pPr>
            <w:r>
              <w:rPr>
                <w:sz w:val="17"/>
              </w:rPr>
              <w:t>Сума залишкової вартості окремого об'єкта невиробничих основних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засобів або невиробничих нематеріальних активів, визначеної</w:t>
            </w:r>
          </w:p>
          <w:p w14:paraId="2D686718" w14:textId="77777777" w:rsidR="00F21DCB" w:rsidRDefault="00F0029A">
            <w:pPr>
              <w:pStyle w:val="TableParagraph"/>
              <w:spacing w:line="208" w:lineRule="auto"/>
              <w:ind w:left="22" w:right="364"/>
              <w:rPr>
                <w:sz w:val="17"/>
              </w:rPr>
            </w:pPr>
            <w:r>
              <w:rPr>
                <w:sz w:val="17"/>
              </w:rPr>
              <w:t>відповідно до національних положень (стандартів) бухгалтерського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обліку або міжнародних стандартів фінансової звітності, у разі</w:t>
            </w:r>
          </w:p>
          <w:p w14:paraId="1947E0DB" w14:textId="77777777" w:rsidR="00F21DCB" w:rsidRDefault="00F0029A">
            <w:pPr>
              <w:pStyle w:val="TableParagraph"/>
              <w:spacing w:line="208" w:lineRule="auto"/>
              <w:ind w:left="22" w:right="80"/>
              <w:rPr>
                <w:sz w:val="17"/>
              </w:rPr>
            </w:pPr>
            <w:r>
              <w:rPr>
                <w:sz w:val="17"/>
              </w:rPr>
              <w:t>ліквідації або продажу такого об'єкта (пункт 138.1 статті 138 розділу III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Податкового кодексу України)</w:t>
            </w:r>
          </w:p>
        </w:tc>
        <w:tc>
          <w:tcPr>
            <w:tcW w:w="1382" w:type="dxa"/>
          </w:tcPr>
          <w:p w14:paraId="758A02EE" w14:textId="77777777" w:rsidR="00F21DCB" w:rsidRDefault="00F0029A">
            <w:pPr>
              <w:pStyle w:val="TableParagraph"/>
              <w:spacing w:before="3"/>
              <w:ind w:left="5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40" w:type="dxa"/>
          </w:tcPr>
          <w:p w14:paraId="4A9F4857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1.2.3.</w:t>
            </w:r>
          </w:p>
        </w:tc>
        <w:tc>
          <w:tcPr>
            <w:tcW w:w="5708" w:type="dxa"/>
          </w:tcPr>
          <w:p w14:paraId="5BA71063" w14:textId="77777777" w:rsidR="00F21DCB" w:rsidRDefault="00F0029A">
            <w:pPr>
              <w:pStyle w:val="TableParagraph"/>
              <w:spacing w:before="24" w:line="208" w:lineRule="auto"/>
              <w:ind w:left="24" w:right="11"/>
              <w:rPr>
                <w:sz w:val="17"/>
              </w:rPr>
            </w:pPr>
            <w:r>
              <w:rPr>
                <w:sz w:val="17"/>
              </w:rPr>
              <w:t>Сума первісної вартості придбання або виготовлення окремого об'єкта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невиробничих основних засобів або невиробничих нематеріальних активів та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витрат на їх ремонт, реконструкцію, модернізацію або інші поліпшення, у</w:t>
            </w:r>
          </w:p>
          <w:p w14:paraId="332C9D8D" w14:textId="77777777" w:rsidR="00F21DCB" w:rsidRDefault="00F0029A">
            <w:pPr>
              <w:pStyle w:val="TableParagraph"/>
              <w:spacing w:line="162" w:lineRule="exact"/>
              <w:ind w:left="24"/>
              <w:rPr>
                <w:sz w:val="17"/>
              </w:rPr>
            </w:pPr>
            <w:r>
              <w:rPr>
                <w:sz w:val="17"/>
              </w:rPr>
              <w:t>тому числі віднесених до витрат відповідно до національних положень (</w:t>
            </w:r>
          </w:p>
          <w:p w14:paraId="51A5002A" w14:textId="77777777" w:rsidR="00F21DCB" w:rsidRDefault="00F0029A">
            <w:pPr>
              <w:pStyle w:val="TableParagraph"/>
              <w:spacing w:before="8" w:line="208" w:lineRule="auto"/>
              <w:ind w:left="24" w:right="68"/>
              <w:rPr>
                <w:sz w:val="17"/>
              </w:rPr>
            </w:pPr>
            <w:r>
              <w:rPr>
                <w:sz w:val="17"/>
              </w:rPr>
              <w:t>стандартів) бухгалтерського обліку або міжнародних стандартів фінансової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звітності, у разі продажу такого об'єкта невиробничих основних засобів або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нематеріальних активів, але не більше суми доходу (виручки), отриманої від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такого продажу (пункт 138.2 статті 138 розділу III Податкового кодексу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України)</w:t>
            </w:r>
          </w:p>
        </w:tc>
        <w:tc>
          <w:tcPr>
            <w:tcW w:w="1582" w:type="dxa"/>
          </w:tcPr>
          <w:p w14:paraId="42043236" w14:textId="77777777" w:rsidR="00F21DCB" w:rsidRDefault="00F0029A">
            <w:pPr>
              <w:pStyle w:val="TableParagraph"/>
              <w:spacing w:before="3"/>
              <w:ind w:left="55"/>
              <w:jc w:val="center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</w:tbl>
    <w:p w14:paraId="4742855E" w14:textId="77777777" w:rsidR="00F21DCB" w:rsidRDefault="00F21DCB">
      <w:pPr>
        <w:jc w:val="center"/>
        <w:rPr>
          <w:sz w:val="17"/>
        </w:rPr>
        <w:sectPr w:rsidR="00F21DCB">
          <w:type w:val="continuous"/>
          <w:pgSz w:w="16820" w:h="11900" w:orient="landscape"/>
          <w:pgMar w:top="500" w:right="440" w:bottom="280" w:left="460" w:header="708" w:footer="70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340"/>
        <w:gridCol w:w="14"/>
        <w:gridCol w:w="1382"/>
        <w:gridCol w:w="840"/>
        <w:gridCol w:w="5700"/>
        <w:gridCol w:w="8"/>
        <w:gridCol w:w="787"/>
        <w:gridCol w:w="795"/>
      </w:tblGrid>
      <w:tr w:rsidR="00F21DCB" w14:paraId="3214F832" w14:textId="77777777">
        <w:trPr>
          <w:trHeight w:val="1351"/>
        </w:trPr>
        <w:tc>
          <w:tcPr>
            <w:tcW w:w="825" w:type="dxa"/>
          </w:tcPr>
          <w:p w14:paraId="5E035092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lastRenderedPageBreak/>
              <w:t>1.1.4</w:t>
            </w:r>
          </w:p>
        </w:tc>
        <w:tc>
          <w:tcPr>
            <w:tcW w:w="5354" w:type="dxa"/>
            <w:gridSpan w:val="2"/>
          </w:tcPr>
          <w:p w14:paraId="4036E0AF" w14:textId="77777777" w:rsidR="00F21DCB" w:rsidRDefault="00F0029A">
            <w:pPr>
              <w:pStyle w:val="TableParagraph"/>
              <w:spacing w:before="24" w:line="208" w:lineRule="auto"/>
              <w:ind w:left="22" w:right="303"/>
              <w:rPr>
                <w:sz w:val="17"/>
              </w:rPr>
            </w:pPr>
            <w:r>
              <w:rPr>
                <w:sz w:val="17"/>
              </w:rPr>
              <w:t>Сума витрат на ремонт, реконструкцію, модернізацію або інші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поліпшення невиробничих основних засобів чи невиробничих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нематеріальних активів, віднесених до витрат відповідно до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національних положень (стандартів) бухгалтерського обліку або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міжнародних стандартів фінансової звітності (пункт 138.1 статті 138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розділу III Податкового кодексу України)</w:t>
            </w:r>
          </w:p>
        </w:tc>
        <w:tc>
          <w:tcPr>
            <w:tcW w:w="1382" w:type="dxa"/>
          </w:tcPr>
          <w:p w14:paraId="145665C7" w14:textId="77777777" w:rsidR="00F21DCB" w:rsidRDefault="00F0029A">
            <w:pPr>
              <w:pStyle w:val="TableParagraph"/>
              <w:spacing w:before="3"/>
              <w:ind w:left="477" w:right="467"/>
              <w:jc w:val="center"/>
              <w:rPr>
                <w:sz w:val="17"/>
              </w:rPr>
            </w:pPr>
            <w:r>
              <w:rPr>
                <w:sz w:val="17"/>
              </w:rPr>
              <w:t>2 000</w:t>
            </w:r>
          </w:p>
        </w:tc>
        <w:tc>
          <w:tcPr>
            <w:tcW w:w="840" w:type="dxa"/>
          </w:tcPr>
          <w:p w14:paraId="518B52B7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68F124FF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062547C5" w14:textId="77777777" w:rsidR="00F21DCB" w:rsidRDefault="00F0029A">
            <w:pPr>
              <w:pStyle w:val="TableParagraph"/>
              <w:spacing w:before="118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Х</w:t>
            </w:r>
          </w:p>
        </w:tc>
        <w:tc>
          <w:tcPr>
            <w:tcW w:w="5708" w:type="dxa"/>
            <w:gridSpan w:val="2"/>
          </w:tcPr>
          <w:p w14:paraId="5F3F1114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117F152B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535BD17C" w14:textId="77777777" w:rsidR="00F21DCB" w:rsidRDefault="00F0029A">
            <w:pPr>
              <w:pStyle w:val="TableParagraph"/>
              <w:spacing w:before="118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Х</w:t>
            </w:r>
          </w:p>
        </w:tc>
        <w:tc>
          <w:tcPr>
            <w:tcW w:w="1582" w:type="dxa"/>
            <w:gridSpan w:val="2"/>
          </w:tcPr>
          <w:p w14:paraId="04806B1A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4D996AE2" w14:textId="77777777" w:rsidR="00F21DCB" w:rsidRDefault="00F21DCB">
            <w:pPr>
              <w:pStyle w:val="TableParagraph"/>
              <w:rPr>
                <w:b/>
                <w:sz w:val="20"/>
              </w:rPr>
            </w:pPr>
          </w:p>
          <w:p w14:paraId="11A640E9" w14:textId="77777777" w:rsidR="00F21DCB" w:rsidRDefault="00F0029A">
            <w:pPr>
              <w:pStyle w:val="TableParagraph"/>
              <w:spacing w:before="118"/>
              <w:ind w:left="1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Х</w:t>
            </w:r>
          </w:p>
        </w:tc>
      </w:tr>
      <w:tr w:rsidR="00F21DCB" w14:paraId="532BC160" w14:textId="77777777">
        <w:trPr>
          <w:trHeight w:val="225"/>
        </w:trPr>
        <w:tc>
          <w:tcPr>
            <w:tcW w:w="825" w:type="dxa"/>
          </w:tcPr>
          <w:p w14:paraId="247371E1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5340" w:type="dxa"/>
          </w:tcPr>
          <w:p w14:paraId="7BE49CDA" w14:textId="77777777" w:rsidR="00F21DCB" w:rsidRDefault="00F0029A">
            <w:pPr>
              <w:pStyle w:val="TableParagraph"/>
              <w:spacing w:before="3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Усього різниць, на які збільшується фінансовий результат</w:t>
            </w:r>
          </w:p>
        </w:tc>
        <w:tc>
          <w:tcPr>
            <w:tcW w:w="1395" w:type="dxa"/>
            <w:gridSpan w:val="2"/>
          </w:tcPr>
          <w:p w14:paraId="0C62486A" w14:textId="7A4208BC" w:rsidR="00F21DCB" w:rsidRDefault="00F0029A">
            <w:pPr>
              <w:pStyle w:val="TableParagraph"/>
              <w:spacing w:before="3"/>
              <w:ind w:left="349" w:right="31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1 </w:t>
            </w:r>
            <w:r w:rsidR="00455CDF">
              <w:rPr>
                <w:sz w:val="17"/>
              </w:rPr>
              <w:t>202</w:t>
            </w:r>
            <w:r>
              <w:rPr>
                <w:sz w:val="17"/>
              </w:rPr>
              <w:t xml:space="preserve"> 000</w:t>
            </w:r>
          </w:p>
        </w:tc>
        <w:tc>
          <w:tcPr>
            <w:tcW w:w="840" w:type="dxa"/>
          </w:tcPr>
          <w:p w14:paraId="3180CFAB" w14:textId="77777777" w:rsidR="00F21DCB" w:rsidRDefault="00F0029A">
            <w:pPr>
              <w:pStyle w:val="TableParagraph"/>
              <w:spacing w:before="3"/>
              <w:ind w:left="24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5700" w:type="dxa"/>
          </w:tcPr>
          <w:p w14:paraId="35AB9FB3" w14:textId="77777777" w:rsidR="00F21DCB" w:rsidRDefault="00F0029A">
            <w:pPr>
              <w:pStyle w:val="TableParagraph"/>
              <w:spacing w:before="3"/>
              <w:ind w:left="24"/>
              <w:rPr>
                <w:b/>
                <w:sz w:val="17"/>
              </w:rPr>
            </w:pPr>
            <w:r>
              <w:rPr>
                <w:b/>
                <w:sz w:val="17"/>
              </w:rPr>
              <w:t>Усього різниць, на які зменшується фінансовий результат</w:t>
            </w:r>
          </w:p>
        </w:tc>
        <w:tc>
          <w:tcPr>
            <w:tcW w:w="1590" w:type="dxa"/>
            <w:gridSpan w:val="3"/>
          </w:tcPr>
          <w:p w14:paraId="141A61EF" w14:textId="77777777" w:rsidR="00F21DCB" w:rsidRDefault="00F0029A">
            <w:pPr>
              <w:pStyle w:val="TableParagraph"/>
              <w:spacing w:before="3"/>
              <w:ind w:left="467"/>
              <w:rPr>
                <w:sz w:val="17"/>
              </w:rPr>
            </w:pPr>
            <w:r>
              <w:rPr>
                <w:sz w:val="17"/>
              </w:rPr>
              <w:t>1 980 000</w:t>
            </w:r>
          </w:p>
        </w:tc>
      </w:tr>
      <w:tr w:rsidR="00F21DCB" w14:paraId="3093F0EE" w14:textId="77777777">
        <w:trPr>
          <w:trHeight w:val="286"/>
        </w:trPr>
        <w:tc>
          <w:tcPr>
            <w:tcW w:w="14100" w:type="dxa"/>
            <w:gridSpan w:val="6"/>
          </w:tcPr>
          <w:p w14:paraId="50A65884" w14:textId="77777777" w:rsidR="00F21DCB" w:rsidRDefault="00F0029A">
            <w:pPr>
              <w:pStyle w:val="TableParagraph"/>
              <w:spacing w:before="3"/>
              <w:ind w:left="3423" w:right="327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Різниці, які виникають відповідно до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Податкового кодексу України (рядок  01- рядок 02) (+, -)</w:t>
            </w:r>
            <w:r>
              <w:rPr>
                <w:b/>
                <w:spacing w:val="-16"/>
                <w:sz w:val="17"/>
              </w:rPr>
              <w:t xml:space="preserve"> </w:t>
            </w:r>
            <w:r>
              <w:rPr>
                <w:b/>
                <w:sz w:val="17"/>
                <w:vertAlign w:val="superscript"/>
              </w:rPr>
              <w:t>2</w:t>
            </w:r>
          </w:p>
        </w:tc>
        <w:tc>
          <w:tcPr>
            <w:tcW w:w="795" w:type="dxa"/>
            <w:gridSpan w:val="2"/>
          </w:tcPr>
          <w:p w14:paraId="189E9539" w14:textId="77777777" w:rsidR="00F21DCB" w:rsidRDefault="00F0029A">
            <w:pPr>
              <w:pStyle w:val="TableParagraph"/>
              <w:spacing w:before="13" w:line="252" w:lineRule="exact"/>
              <w:ind w:left="24"/>
              <w:rPr>
                <w:b/>
              </w:rPr>
            </w:pPr>
            <w:r>
              <w:rPr>
                <w:b/>
                <w:w w:val="105"/>
              </w:rPr>
              <w:t>03</w:t>
            </w:r>
          </w:p>
        </w:tc>
        <w:tc>
          <w:tcPr>
            <w:tcW w:w="795" w:type="dxa"/>
          </w:tcPr>
          <w:p w14:paraId="16CF7A4F" w14:textId="5D017D20" w:rsidR="00F21DCB" w:rsidRDefault="00F0029A">
            <w:pPr>
              <w:pStyle w:val="TableParagraph"/>
              <w:spacing w:before="3"/>
              <w:ind w:left="104"/>
              <w:rPr>
                <w:sz w:val="17"/>
              </w:rPr>
            </w:pPr>
            <w:r>
              <w:rPr>
                <w:sz w:val="17"/>
              </w:rPr>
              <w:t>-</w:t>
            </w:r>
            <w:r w:rsidR="00455CDF">
              <w:rPr>
                <w:sz w:val="17"/>
              </w:rPr>
              <w:t>778</w:t>
            </w:r>
            <w:r>
              <w:rPr>
                <w:sz w:val="17"/>
              </w:rPr>
              <w:t xml:space="preserve"> 000</w:t>
            </w:r>
          </w:p>
        </w:tc>
      </w:tr>
    </w:tbl>
    <w:p w14:paraId="61D7E8C1" w14:textId="338BFF03" w:rsidR="00F21DCB" w:rsidRPr="0041576E" w:rsidRDefault="00F0029A" w:rsidP="0041576E">
      <w:pPr>
        <w:pStyle w:val="a3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689C94" wp14:editId="1B1909A8">
                <wp:extent cx="967740" cy="8255"/>
                <wp:effectExtent l="6350" t="2540" r="6985" b="8255"/>
                <wp:docPr id="2852049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8255"/>
                          <a:chOff x="0" y="0"/>
                          <a:chExt cx="1524" cy="13"/>
                        </a:xfrm>
                      </wpg:grpSpPr>
                      <wps:wsp>
                        <wps:cNvPr id="134899325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ED43B" id="Group 2" o:spid="_x0000_s1026" style="width:76.2pt;height:.65pt;mso-position-horizontal-relative:char;mso-position-vertical-relative:line" coordsize="152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">
                <v:line id="Line 3" o:spid="_x0000_s1027" style="position:absolute;visibility:visible;mso-wrap-style:square" from="0,6" to="152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" strokeweight=".22861mm"/>
                <w10:anchorlock/>
              </v:group>
            </w:pict>
          </mc:Fallback>
        </mc:AlternateContent>
      </w:r>
    </w:p>
    <w:sectPr w:rsidR="00F21DCB" w:rsidRPr="0041576E">
      <w:pgSz w:w="16820" w:h="11900" w:orient="landscape"/>
      <w:pgMar w:top="560" w:right="44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4152"/>
    <w:multiLevelType w:val="hybridMultilevel"/>
    <w:tmpl w:val="35DA6BAA"/>
    <w:lvl w:ilvl="0" w:tplc="BE740570">
      <w:start w:val="1"/>
      <w:numFmt w:val="decimal"/>
      <w:lvlText w:val="%1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w w:val="103"/>
        <w:position w:val="2"/>
        <w:sz w:val="11"/>
        <w:szCs w:val="11"/>
        <w:lang w:val="uk-UA" w:eastAsia="en-US" w:bidi="ar-SA"/>
      </w:rPr>
    </w:lvl>
    <w:lvl w:ilvl="1" w:tplc="E51AD968">
      <w:numFmt w:val="bullet"/>
      <w:lvlText w:val="•"/>
      <w:lvlJc w:val="left"/>
      <w:pPr>
        <w:ind w:left="1880" w:hanging="219"/>
      </w:pPr>
      <w:rPr>
        <w:rFonts w:hint="default"/>
        <w:lang w:val="uk-UA" w:eastAsia="en-US" w:bidi="ar-SA"/>
      </w:rPr>
    </w:lvl>
    <w:lvl w:ilvl="2" w:tplc="0E80ADBC">
      <w:numFmt w:val="bullet"/>
      <w:lvlText w:val="•"/>
      <w:lvlJc w:val="left"/>
      <w:pPr>
        <w:ind w:left="3440" w:hanging="219"/>
      </w:pPr>
      <w:rPr>
        <w:rFonts w:hint="default"/>
        <w:lang w:val="uk-UA" w:eastAsia="en-US" w:bidi="ar-SA"/>
      </w:rPr>
    </w:lvl>
    <w:lvl w:ilvl="3" w:tplc="76AAD226">
      <w:numFmt w:val="bullet"/>
      <w:lvlText w:val="•"/>
      <w:lvlJc w:val="left"/>
      <w:pPr>
        <w:ind w:left="5000" w:hanging="219"/>
      </w:pPr>
      <w:rPr>
        <w:rFonts w:hint="default"/>
        <w:lang w:val="uk-UA" w:eastAsia="en-US" w:bidi="ar-SA"/>
      </w:rPr>
    </w:lvl>
    <w:lvl w:ilvl="4" w:tplc="A8E60336">
      <w:numFmt w:val="bullet"/>
      <w:lvlText w:val="•"/>
      <w:lvlJc w:val="left"/>
      <w:pPr>
        <w:ind w:left="6560" w:hanging="219"/>
      </w:pPr>
      <w:rPr>
        <w:rFonts w:hint="default"/>
        <w:lang w:val="uk-UA" w:eastAsia="en-US" w:bidi="ar-SA"/>
      </w:rPr>
    </w:lvl>
    <w:lvl w:ilvl="5" w:tplc="A694F8E2">
      <w:numFmt w:val="bullet"/>
      <w:lvlText w:val="•"/>
      <w:lvlJc w:val="left"/>
      <w:pPr>
        <w:ind w:left="8120" w:hanging="219"/>
      </w:pPr>
      <w:rPr>
        <w:rFonts w:hint="default"/>
        <w:lang w:val="uk-UA" w:eastAsia="en-US" w:bidi="ar-SA"/>
      </w:rPr>
    </w:lvl>
    <w:lvl w:ilvl="6" w:tplc="8C144754">
      <w:numFmt w:val="bullet"/>
      <w:lvlText w:val="•"/>
      <w:lvlJc w:val="left"/>
      <w:pPr>
        <w:ind w:left="9680" w:hanging="219"/>
      </w:pPr>
      <w:rPr>
        <w:rFonts w:hint="default"/>
        <w:lang w:val="uk-UA" w:eastAsia="en-US" w:bidi="ar-SA"/>
      </w:rPr>
    </w:lvl>
    <w:lvl w:ilvl="7" w:tplc="E328F592">
      <w:numFmt w:val="bullet"/>
      <w:lvlText w:val="•"/>
      <w:lvlJc w:val="left"/>
      <w:pPr>
        <w:ind w:left="11240" w:hanging="219"/>
      </w:pPr>
      <w:rPr>
        <w:rFonts w:hint="default"/>
        <w:lang w:val="uk-UA" w:eastAsia="en-US" w:bidi="ar-SA"/>
      </w:rPr>
    </w:lvl>
    <w:lvl w:ilvl="8" w:tplc="8586C87C">
      <w:numFmt w:val="bullet"/>
      <w:lvlText w:val="•"/>
      <w:lvlJc w:val="left"/>
      <w:pPr>
        <w:ind w:left="12800" w:hanging="219"/>
      </w:pPr>
      <w:rPr>
        <w:rFonts w:hint="default"/>
        <w:lang w:val="uk-UA" w:eastAsia="en-US" w:bidi="ar-SA"/>
      </w:rPr>
    </w:lvl>
  </w:abstractNum>
  <w:num w:numId="1" w16cid:durableId="13618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CB"/>
    <w:rsid w:val="0041576E"/>
    <w:rsid w:val="00455CDF"/>
    <w:rsid w:val="0070320B"/>
    <w:rsid w:val="00751DCD"/>
    <w:rsid w:val="00F0029A"/>
    <w:rsid w:val="00F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6C76"/>
  <w15:docId w15:val="{4783A49F-DE60-41A6-A6C5-CF88A959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0"/>
    <w:qFormat/>
    <w:pPr>
      <w:spacing w:before="164"/>
      <w:ind w:left="6930" w:right="6945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26" w:hanging="2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5A16-E7A6-48F3-8CC2-50AACAC0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3707</Characters>
  <Application>Microsoft Office Word</Application>
  <DocSecurity>0</DocSecurity>
  <Lines>82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Ganna Bykova</cp:lastModifiedBy>
  <cp:revision>2</cp:revision>
  <dcterms:created xsi:type="dcterms:W3CDTF">2024-05-06T09:05:00Z</dcterms:created>
  <dcterms:modified xsi:type="dcterms:W3CDTF">2024-05-06T09:05:00Z</dcterms:modified>
</cp:coreProperties>
</file>