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tabs>
          <w:tab w:val="left" w:pos="4840"/>
        </w:tabs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 xml:space="preserve">                         </w:t>
      </w:r>
    </w:p>
    <w:p>
      <w:pPr>
        <w:pStyle w:val="Normal.0"/>
        <w:ind w:left="4253" w:firstLine="0"/>
        <w:jc w:val="center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ind w:left="4253" w:firstLine="0"/>
        <w:jc w:val="center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ind w:left="4253" w:firstLine="0"/>
        <w:jc w:val="center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ind w:firstLine="567"/>
        <w:jc w:val="center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Індивідуальна податкова консультація</w:t>
      </w:r>
    </w:p>
    <w:p>
      <w:pPr>
        <w:pStyle w:val="Normal.0"/>
        <w:ind w:firstLine="567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ind w:firstLine="567"/>
        <w:jc w:val="both"/>
        <w:rPr>
          <w:spacing w:val="-6"/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Головне управління ДПС у Чернігівській області за результатами розгляду звернення Товариства </w:t>
      </w:r>
      <w:r>
        <w:rPr>
          <w:spacing w:val="-6"/>
          <w:sz w:val="28"/>
          <w:szCs w:val="28"/>
          <w:rtl w:val="0"/>
          <w:lang w:val="ru-RU"/>
        </w:rPr>
        <w:t xml:space="preserve">щодо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порядку заповнення </w:t>
      </w:r>
      <w:r>
        <w:rPr>
          <w:sz w:val="28"/>
          <w:szCs w:val="28"/>
          <w:rtl w:val="0"/>
          <w:lang w:val="ru-RU"/>
        </w:rPr>
        <w:t>Розрахунку загального мінімального податкового зобов</w:t>
      </w:r>
      <w:r>
        <w:rPr>
          <w:sz w:val="28"/>
          <w:szCs w:val="28"/>
          <w:rtl w:val="0"/>
          <w:lang w:val="ru-RU"/>
        </w:rPr>
        <w:t>'</w:t>
      </w:r>
      <w:r>
        <w:rPr>
          <w:sz w:val="28"/>
          <w:szCs w:val="28"/>
          <w:rtl w:val="0"/>
          <w:lang w:val="ru-RU"/>
        </w:rPr>
        <w:t xml:space="preserve">язання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далі</w:t>
      </w:r>
      <w:r>
        <w:rPr>
          <w:sz w:val="28"/>
          <w:szCs w:val="28"/>
          <w:rtl w:val="0"/>
          <w:lang w:val="ru-RU"/>
        </w:rPr>
        <w:t xml:space="preserve">-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МПЗ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керуючись статтею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52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глави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розділу ІІ Податкового кодексу України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далі – Кодекс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повідомляє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Другое"/>
        <w:tabs>
          <w:tab w:val="left" w:pos="3494"/>
        </w:tabs>
        <w:ind w:firstLine="567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Як зазначено у зверненні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Товариство в минулому році перебувало на загальній системі обліку та звітності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Платником до ДПІ області своєчасно подано податкову декларацію з податку на прибуток разом з Розрахунком </w:t>
      </w:r>
      <w:r>
        <w:rPr>
          <w:rFonts w:ascii="Times New Roman" w:hAnsi="Times New Roman" w:hint="default"/>
          <w:sz w:val="28"/>
          <w:szCs w:val="28"/>
          <w:rtl w:val="0"/>
        </w:rPr>
        <w:t>МПЗ та МПЗ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</w:rPr>
        <w:t>З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 (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форма декларації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0100126).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При обчисленні МПЗ було враховано норми п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. 74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підрозділу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10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розділу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XX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ПКУ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яким передбачено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що платник додатково здійснює обрахунок мінімального допустимого значення суми МПЗ по кожній земельній ділянці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не менше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700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грн з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1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гектара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а для земельних ділянок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у площі яких частка ріллі становить не менше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50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відсотків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- 1400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грн з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1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гектара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та норми  п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п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. 38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vertAlign w:val="superscript"/>
          <w:rtl w:val="0"/>
          <w14:textFill>
            <w14:solidFill>
              <w14:srgbClr w14:val="000000"/>
            </w14:solidFill>
          </w14:textFill>
        </w:rPr>
        <w:t>1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.1.1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і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38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vertAlign w:val="superscript"/>
          <w:rtl w:val="0"/>
          <w14:textFill>
            <w14:solidFill>
              <w14:srgbClr w14:val="000000"/>
            </w14:solidFill>
          </w14:textFill>
        </w:rPr>
        <w:t>1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.1.2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п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. 38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vertAlign w:val="superscript"/>
          <w:rtl w:val="0"/>
          <w14:textFill>
            <w14:solidFill>
              <w14:srgbClr w14:val="000000"/>
            </w14:solidFill>
          </w14:textFill>
        </w:rPr>
        <w:t>1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.1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ст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. 38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vertAlign w:val="superscript"/>
          <w:rtl w:val="0"/>
          <w14:textFill>
            <w14:solidFill>
              <w14:srgbClr w14:val="000000"/>
            </w14:solidFill>
          </w14:textFill>
        </w:rPr>
        <w:t>1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 Кодексу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що передбачають  визначення мінімального податкового зобов’язання з врахуванням кількості місяців перебування земельних ділянок у користуванні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Другое"/>
        <w:tabs>
          <w:tab w:val="left" w:pos="3494"/>
        </w:tabs>
        <w:ind w:firstLine="567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Рішенням тридцять першої сесії восьмого скликання Сновської міської територіальної громади Корюківського району Чернігівської області Товариству було надано пільгу зі сплати податків за земельні ділянки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які знаходяться на території Гірського Старостинського округу у розмірі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100%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за період з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01.04.2024 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по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31.12.2024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року у зв’язку з непридатністю їх до використання через потенційну загрозу їх забруднення вибухонебезпечними предметами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Також з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01.12.2024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року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у відповідності до Наказу Міністерства розвитку громад та територій України №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376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від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28.02.2025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року «Про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л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затвердження Переліку територій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на яких ведуться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велися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бойові дії або тимчасово окупованих Російською Федерацією»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Сновську міську територіальну громаду включено до переліку територій активних бойових дій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на яких функціонують державні електронні інформаційні ресурси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що передбачає звільнення від сплати земельного податку за грудень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2024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р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Враховуючи вищевикладене Товариство планує подати уточнюючу декларацію з податку на прибуток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Поряд з цим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з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13.06.2025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року діє нова форма податкової декларації з податку на прибуток декларації 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10100128.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Формою додатку Розрахунку МПЗ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З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/>
          <w:sz w:val="28"/>
          <w:szCs w:val="28"/>
          <w:rtl w:val="0"/>
        </w:rPr>
        <w:t>J0114928)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 до податкової декларації з податку  на прибуток  передбачено обрахунок мінімального податкового зобов’язання без врахування  кількості місяців перебування земельних  ділянок у користуванні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.  </w:t>
      </w:r>
    </w:p>
    <w:p>
      <w:pPr>
        <w:pStyle w:val="Другое"/>
        <w:tabs>
          <w:tab w:val="left" w:pos="3494"/>
        </w:tabs>
        <w:ind w:firstLine="567"/>
        <w:jc w:val="both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Тобто нова форма розрахунку МПЗ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З не дає можливості скористатися пільгою зі сплати за ділянки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які непридатні до використання через забруднення вибухонебезпечними предметами та звільненням від сплати за грудень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2024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року у зв’язку із включенням до переліку територій активних бойових дій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на яких функціонують державні електронні інформаційні ресурси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1"/>
        <w:ind w:firstLine="567"/>
        <w:jc w:val="both"/>
        <w:rPr>
          <w:spacing w:val="0"/>
        </w:rPr>
      </w:pPr>
    </w:p>
    <w:p>
      <w:pPr>
        <w:pStyle w:val="Body Text"/>
        <w:ind w:firstLine="567"/>
      </w:pPr>
      <w:r>
        <w:rPr>
          <w:rtl w:val="0"/>
        </w:rPr>
        <w:t xml:space="preserve">З огляду на викладене Товариство просить надати роз’яснення стосовно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порядку заповнення уточнюючого розрахунку МПЗ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З за новою формою з врахуванням кількості місяців користування земельними ділянками</w:t>
      </w:r>
      <w:r>
        <w:rPr>
          <w:rtl w:val="0"/>
        </w:rPr>
        <w:t>.</w:t>
      </w:r>
    </w:p>
    <w:p>
      <w:pPr>
        <w:pStyle w:val="Body Text"/>
        <w:ind w:firstLine="567"/>
      </w:pPr>
      <w:r>
        <w:rPr>
          <w:rtl w:val="0"/>
        </w:rPr>
        <w:t xml:space="preserve">       </w:t>
      </w:r>
    </w:p>
    <w:p>
      <w:pPr>
        <w:pStyle w:val="Normal.0"/>
        <w:ind w:firstLine="567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Підпунктом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14.1.233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14.1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14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Кодексу визначено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що сільськогосподарські угіддя – це рілля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багаторічні насадження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сіножаті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пасовища та перелоги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ind w:firstLine="567"/>
        <w:jc w:val="both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Згідно з п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14.1.114</w:t>
      </w:r>
      <w:r>
        <w:rPr>
          <w:outline w:val="0"/>
          <w:color w:val="000000"/>
          <w:sz w:val="28"/>
          <w:szCs w:val="28"/>
          <w:u w:color="000000"/>
          <w:vertAlign w:val="superscript"/>
          <w:rtl w:val="0"/>
          <w:lang w:val="ru-RU"/>
          <w14:textFill>
            <w14:solidFill>
              <w14:srgbClr w14:val="000000"/>
            </w14:solidFill>
          </w14:textFill>
        </w:rPr>
        <w:t>2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п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14.1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14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Кодексу мінімальне податкове зобов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'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язання – мінімальна величина податкового зобов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'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язання із сплати податків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зборів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платежів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контроль за справлянням яких покладено на контролюючі органи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пов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'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язаних з виробництвом та реалізацією власної сільськогосподарської продукції та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або з власністю та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або користуванням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орендою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суборендою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емфітевзисом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постійним користуванням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земельними ділянками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віднесеними до сільськогосподарських угідь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розрахована відповідно до цього Кодексу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Сума мінімальних податкових зобов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'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язань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визначених щодо кожної із земельних ділянок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право користування якими належить одній юридичній або фізичній особі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у тому числі фізичній особі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підприємцю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є загальним мінімальним податковим зобов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'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язанням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ind w:firstLine="567"/>
        <w:jc w:val="both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У разі передачі земельних ділянок в оренду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суборенду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емфітевзис або інше користування МПЗ визначається для орендарів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користувачів на інших умовах таких земельних ділянок у порядку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визначеному цим Кодексом</w:t>
        <w:br w:type="textWrapping"/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38</w:t>
      </w:r>
      <w:r>
        <w:rPr>
          <w:outline w:val="0"/>
          <w:color w:val="000000"/>
          <w:sz w:val="28"/>
          <w:szCs w:val="28"/>
          <w:u w:color="000000"/>
          <w:vertAlign w:val="superscript"/>
          <w:rtl w:val="0"/>
          <w:lang w:val="ru-RU"/>
          <w14:textFill>
            <w14:solidFill>
              <w14:srgbClr w14:val="000000"/>
            </w14:solidFill>
          </w14:textFill>
        </w:rPr>
        <w:t>1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.3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38</w:t>
      </w:r>
      <w:r>
        <w:rPr>
          <w:outline w:val="0"/>
          <w:color w:val="000000"/>
          <w:sz w:val="28"/>
          <w:szCs w:val="28"/>
          <w:u w:color="000000"/>
          <w:vertAlign w:val="superscript"/>
          <w:rtl w:val="0"/>
          <w:lang w:val="ru-RU"/>
          <w14:textFill>
            <w14:solidFill>
              <w14:srgbClr w14:val="000000"/>
            </w14:solidFill>
          </w14:textFill>
        </w:rPr>
        <w:t>1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Кодексу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).</w:t>
      </w:r>
    </w:p>
    <w:p>
      <w:pPr>
        <w:pStyle w:val="Normal.0"/>
        <w:ind w:firstLine="567"/>
        <w:jc w:val="both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МПЗ визначається за період володіння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користування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земельною ділянкою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який припадає на відповідний податковий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звітний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рік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38</w:t>
      </w:r>
      <w:r>
        <w:rPr>
          <w:outline w:val="0"/>
          <w:color w:val="000000"/>
          <w:sz w:val="28"/>
          <w:szCs w:val="28"/>
          <w:u w:color="000000"/>
          <w:vertAlign w:val="superscript"/>
          <w:rtl w:val="0"/>
          <w:lang w:val="ru-RU"/>
          <w14:textFill>
            <w14:solidFill>
              <w14:srgbClr w14:val="000000"/>
            </w14:solidFill>
          </w14:textFill>
        </w:rPr>
        <w:t>1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.1.4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38</w:t>
      </w:r>
      <w:r>
        <w:rPr>
          <w:outline w:val="0"/>
          <w:color w:val="000000"/>
          <w:sz w:val="28"/>
          <w:szCs w:val="28"/>
          <w:u w:color="000000"/>
          <w:vertAlign w:val="superscript"/>
          <w:rtl w:val="0"/>
          <w:lang w:val="ru-RU"/>
          <w14:textFill>
            <w14:solidFill>
              <w14:srgbClr w14:val="000000"/>
            </w14:solidFill>
          </w14:textFill>
        </w:rPr>
        <w:t>1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.1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38</w:t>
      </w:r>
      <w:r>
        <w:rPr>
          <w:outline w:val="0"/>
          <w:color w:val="000000"/>
          <w:sz w:val="28"/>
          <w:szCs w:val="28"/>
          <w:u w:color="000000"/>
          <w:vertAlign w:val="superscript"/>
          <w:rtl w:val="0"/>
          <w:lang w:val="ru-RU"/>
          <w14:textFill>
            <w14:solidFill>
              <w14:srgbClr w14:val="000000"/>
            </w14:solidFill>
          </w14:textFill>
        </w:rPr>
        <w:t>1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Кодексу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).</w:t>
      </w:r>
    </w:p>
    <w:p>
      <w:pPr>
        <w:pStyle w:val="Normal.0"/>
        <w:ind w:firstLine="567"/>
        <w:jc w:val="both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Особливості визначення загального МПЗ для платників податку на прибуток – власників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орендарів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користувачів на інших умовах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тому числі на умовах емфітевзису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земельних ділянок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віднесених до сільськогосподарських угідь встановлені п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141.9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141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Кодексу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ind w:firstLine="567"/>
        <w:jc w:val="both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Платники податку – власники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орендарі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користувачі земельних ділянок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віднесених до сільськогосподарських угідь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зобов’язані подавати у складі податкової декларації за податковий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звітний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рік розрахунок загального мінімального податкового зобов’язання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який відображається у  Додатку МПЗ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 до Податкової декларації з податку на прибуток підприємств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до рядка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02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МПЗ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 додатка МПЗ до рядка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06.2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МПЗ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форма якої затверджена наказом Міністерства фінансів України від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20.10.2015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№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897 (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із змінами та доповненнями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 (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далі – Декларація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).</w:t>
      </w:r>
    </w:p>
    <w:p>
      <w:pPr>
        <w:pStyle w:val="Normal.0"/>
        <w:ind w:firstLine="567"/>
        <w:jc w:val="both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Формули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 якими обчислюються МПЗ щодо земельної ділянки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нормативна грошова оцінка якої проведена та МПЗ щодо земельної ділянки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нормативна грошова оцінка якої не проведена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визначені підпунктами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38</w:t>
      </w:r>
      <w:r>
        <w:rPr>
          <w:outline w:val="0"/>
          <w:color w:val="000000"/>
          <w:sz w:val="28"/>
          <w:szCs w:val="28"/>
          <w:u w:color="000000"/>
          <w:vertAlign w:val="superscript"/>
          <w:rtl w:val="0"/>
          <w:lang w:val="ru-RU"/>
          <w14:textFill>
            <w14:solidFill>
              <w14:srgbClr w14:val="000000"/>
            </w14:solidFill>
          </w14:textFill>
        </w:rPr>
        <w:t>1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.1.1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та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38</w:t>
      </w:r>
      <w:r>
        <w:rPr>
          <w:outline w:val="0"/>
          <w:color w:val="000000"/>
          <w:sz w:val="28"/>
          <w:szCs w:val="28"/>
          <w:u w:color="000000"/>
          <w:vertAlign w:val="superscript"/>
          <w:rtl w:val="0"/>
          <w:lang w:val="ru-RU"/>
          <w14:textFill>
            <w14:solidFill>
              <w14:srgbClr w14:val="000000"/>
            </w14:solidFill>
          </w14:textFill>
        </w:rPr>
        <w:t>1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.1.2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38</w:t>
      </w:r>
      <w:r>
        <w:rPr>
          <w:outline w:val="0"/>
          <w:color w:val="000000"/>
          <w:sz w:val="28"/>
          <w:szCs w:val="28"/>
          <w:u w:color="000000"/>
          <w:vertAlign w:val="superscript"/>
          <w:rtl w:val="0"/>
          <w:lang w:val="ru-RU"/>
          <w14:textFill>
            <w14:solidFill>
              <w14:srgbClr w14:val="000000"/>
            </w14:solidFill>
          </w14:textFill>
        </w:rPr>
        <w:t>1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.1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38</w:t>
      </w:r>
      <w:r>
        <w:rPr>
          <w:outline w:val="0"/>
          <w:color w:val="000000"/>
          <w:sz w:val="28"/>
          <w:szCs w:val="28"/>
          <w:u w:color="000000"/>
          <w:vertAlign w:val="superscript"/>
          <w:rtl w:val="0"/>
          <w:lang w:val="ru-RU"/>
          <w14:textFill>
            <w14:solidFill>
              <w14:srgbClr w14:val="000000"/>
            </w14:solidFill>
          </w14:textFill>
        </w:rPr>
        <w:t>1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Кодексу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та передбачають урахування кількості календарних місяців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протягом яких земельна ділянка перебуває у власності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оренді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користуванні на інших умовах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тому числі на умовах емфітевзису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).</w:t>
      </w:r>
    </w:p>
    <w:p>
      <w:pPr>
        <w:pStyle w:val="Normal.0"/>
        <w:ind w:firstLine="567"/>
        <w:jc w:val="both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МПЗ обчислюється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зокрема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 з урахуванням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нормативної грошової оцінки відповідної земельної ділянки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для земельної ділянки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нормативна грошова оцінка якої не проведена – з урахуванням площі земельної ділянки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коефіцієнта індексації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визначеного Кодексом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кількості календарних місяців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протягом яких земельна ділянка перебуває у власності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оренді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користуванні на інших умовах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ind w:firstLine="567"/>
        <w:jc w:val="both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 податковий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звітний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2024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рік застосовується коефіцієнт індексації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що становить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0,05.</w:t>
      </w:r>
    </w:p>
    <w:p>
      <w:pPr>
        <w:pStyle w:val="Normal.0"/>
        <w:ind w:firstLine="567"/>
        <w:jc w:val="both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Водночас п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74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підрозділу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10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розділу ХХ «Перехідні положення» Кодексу встановлено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що при визначенні МПЗ у період з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січня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2024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року по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31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грудня року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у якому буде припинено або скасовано </w:t>
      </w:r>
      <w:r>
        <w:rPr>
          <w:sz w:val="28"/>
          <w:szCs w:val="28"/>
          <w:rtl w:val="0"/>
          <w:lang w:val="ru-RU"/>
        </w:rPr>
        <w:t>воєнний стан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сума МПЗ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визначена відповідно до підпунктів </w:t>
      </w:r>
      <w:r>
        <w:rPr>
          <w:sz w:val="28"/>
          <w:szCs w:val="28"/>
          <w:rtl w:val="0"/>
          <w:lang w:val="ru-RU"/>
        </w:rPr>
        <w:t>38</w:t>
      </w:r>
      <w:r>
        <w:rPr>
          <w:sz w:val="28"/>
          <w:szCs w:val="28"/>
          <w:vertAlign w:val="superscript"/>
          <w:rtl w:val="0"/>
          <w:lang w:val="ru-RU"/>
        </w:rPr>
        <w:t>1</w:t>
      </w:r>
      <w:r>
        <w:rPr>
          <w:sz w:val="28"/>
          <w:szCs w:val="28"/>
          <w:rtl w:val="0"/>
          <w:lang w:val="ru-RU"/>
        </w:rPr>
        <w:t xml:space="preserve">.1.1 </w:t>
      </w:r>
      <w:r>
        <w:rPr>
          <w:sz w:val="28"/>
          <w:szCs w:val="28"/>
          <w:rtl w:val="0"/>
          <w:lang w:val="ru-RU"/>
        </w:rPr>
        <w:t xml:space="preserve">і </w:t>
      </w:r>
      <w:r>
        <w:rPr>
          <w:sz w:val="28"/>
          <w:szCs w:val="28"/>
          <w:rtl w:val="0"/>
          <w:lang w:val="ru-RU"/>
        </w:rPr>
        <w:t>38</w:t>
      </w:r>
      <w:r>
        <w:rPr>
          <w:sz w:val="28"/>
          <w:szCs w:val="28"/>
          <w:vertAlign w:val="superscript"/>
          <w:rtl w:val="0"/>
          <w:lang w:val="ru-RU"/>
        </w:rPr>
        <w:t>1</w:t>
      </w:r>
      <w:r>
        <w:rPr>
          <w:sz w:val="28"/>
          <w:szCs w:val="28"/>
          <w:rtl w:val="0"/>
          <w:lang w:val="ru-RU"/>
        </w:rPr>
        <w:t>.1.2</w:t>
      </w:r>
      <w:r>
        <w:rPr>
          <w:sz w:val="28"/>
          <w:szCs w:val="28"/>
          <w:rtl w:val="0"/>
          <w:lang w:val="ru-RU"/>
        </w:rPr>
        <w:t> </w:t>
      </w:r>
      <w:bookmarkStart w:name="_Hlk204122349" w:id="0"/>
      <w:r>
        <w:rPr>
          <w:sz w:val="28"/>
          <w:szCs w:val="28"/>
          <w:rtl w:val="0"/>
          <w:lang w:val="ru-RU"/>
        </w:rPr>
        <w:t>п</w:t>
      </w:r>
      <w:r>
        <w:rPr>
          <w:sz w:val="28"/>
          <w:szCs w:val="28"/>
          <w:rtl w:val="0"/>
          <w:lang w:val="ru-RU"/>
        </w:rPr>
        <w:t>. 38</w:t>
      </w:r>
      <w:r>
        <w:rPr>
          <w:sz w:val="28"/>
          <w:szCs w:val="28"/>
          <w:vertAlign w:val="superscript"/>
          <w:rtl w:val="0"/>
          <w:lang w:val="ru-RU"/>
        </w:rPr>
        <w:t>1</w:t>
      </w:r>
      <w:r>
        <w:rPr>
          <w:sz w:val="28"/>
          <w:szCs w:val="28"/>
          <w:rtl w:val="0"/>
          <w:lang w:val="ru-RU"/>
        </w:rPr>
        <w:t xml:space="preserve">.1 </w:t>
      </w:r>
      <w:r>
        <w:rPr>
          <w:sz w:val="28"/>
          <w:szCs w:val="28"/>
          <w:rtl w:val="0"/>
          <w:lang w:val="ru-RU"/>
        </w:rPr>
        <w:t>ст</w:t>
      </w:r>
      <w:r>
        <w:rPr>
          <w:sz w:val="28"/>
          <w:szCs w:val="28"/>
          <w:rtl w:val="0"/>
          <w:lang w:val="ru-RU"/>
        </w:rPr>
        <w:t>. 38</w:t>
      </w:r>
      <w:r>
        <w:rPr>
          <w:sz w:val="28"/>
          <w:szCs w:val="28"/>
          <w:vertAlign w:val="superscript"/>
          <w:rtl w:val="0"/>
          <w:lang w:val="ru-RU"/>
        </w:rPr>
        <w:t>1</w:t>
      </w:r>
      <w:r>
        <w:rPr>
          <w:sz w:val="28"/>
          <w:szCs w:val="28"/>
          <w:rtl w:val="0"/>
          <w:lang w:val="ru-RU"/>
        </w:rPr>
        <w:t> Кодексу</w:t>
      </w:r>
      <w:bookmarkEnd w:id="0"/>
      <w:r>
        <w:rPr>
          <w:sz w:val="28"/>
          <w:szCs w:val="28"/>
          <w:rtl w:val="0"/>
          <w:lang w:val="ru-RU"/>
        </w:rPr>
        <w:t>,</w:t>
      </w:r>
      <w:r>
        <w:rPr>
          <w:sz w:val="28"/>
          <w:szCs w:val="28"/>
          <w:rtl w:val="0"/>
          <w:lang w:val="ru-RU"/>
        </w:rPr>
        <w:t xml:space="preserve">  не може становити менше </w:t>
      </w:r>
      <w:r>
        <w:rPr>
          <w:sz w:val="28"/>
          <w:szCs w:val="28"/>
          <w:rtl w:val="0"/>
          <w:lang w:val="ru-RU"/>
        </w:rPr>
        <w:t xml:space="preserve">700 </w:t>
      </w:r>
      <w:r>
        <w:rPr>
          <w:sz w:val="28"/>
          <w:szCs w:val="28"/>
          <w:rtl w:val="0"/>
          <w:lang w:val="ru-RU"/>
        </w:rPr>
        <w:t xml:space="preserve">гривень з </w:t>
      </w:r>
      <w:r>
        <w:rPr>
          <w:sz w:val="28"/>
          <w:szCs w:val="28"/>
          <w:rtl w:val="0"/>
          <w:lang w:val="ru-RU"/>
        </w:rPr>
        <w:t xml:space="preserve">1 </w:t>
      </w:r>
      <w:r>
        <w:rPr>
          <w:sz w:val="28"/>
          <w:szCs w:val="28"/>
          <w:rtl w:val="0"/>
          <w:lang w:val="ru-RU"/>
        </w:rPr>
        <w:t>гектара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а для земельних ділянок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у площі яких частка ріллі становить не менше </w:t>
      </w:r>
      <w:r>
        <w:rPr>
          <w:sz w:val="28"/>
          <w:szCs w:val="28"/>
          <w:rtl w:val="0"/>
          <w:lang w:val="ru-RU"/>
        </w:rPr>
        <w:t xml:space="preserve">50 </w:t>
      </w:r>
      <w:r>
        <w:rPr>
          <w:sz w:val="28"/>
          <w:szCs w:val="28"/>
          <w:rtl w:val="0"/>
          <w:lang w:val="ru-RU"/>
        </w:rPr>
        <w:t>відсотків</w:t>
      </w:r>
      <w:r>
        <w:rPr>
          <w:sz w:val="28"/>
          <w:szCs w:val="28"/>
          <w:rtl w:val="0"/>
          <w:lang w:val="ru-RU"/>
        </w:rPr>
        <w:t xml:space="preserve">, - 1400 </w:t>
      </w:r>
      <w:r>
        <w:rPr>
          <w:sz w:val="28"/>
          <w:szCs w:val="28"/>
          <w:rtl w:val="0"/>
          <w:lang w:val="ru-RU"/>
        </w:rPr>
        <w:t xml:space="preserve">гривень з </w:t>
      </w:r>
      <w:r>
        <w:rPr>
          <w:sz w:val="28"/>
          <w:szCs w:val="28"/>
          <w:rtl w:val="0"/>
          <w:lang w:val="ru-RU"/>
        </w:rPr>
        <w:t>1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гектара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ind w:firstLine="567"/>
        <w:jc w:val="both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sz w:val="28"/>
          <w:szCs w:val="28"/>
          <w:rtl w:val="0"/>
          <w:lang w:val="ru-RU"/>
        </w:rPr>
        <w:t>Таким чином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</w:t>
      </w:r>
      <w:r>
        <w:rPr>
          <w:sz w:val="28"/>
          <w:szCs w:val="28"/>
          <w:rtl w:val="0"/>
          <w:lang w:val="ru-RU"/>
        </w:rPr>
        <w:t xml:space="preserve">. 74 </w:t>
      </w:r>
      <w:r>
        <w:rPr>
          <w:sz w:val="28"/>
          <w:szCs w:val="28"/>
          <w:rtl w:val="0"/>
          <w:lang w:val="ru-RU"/>
        </w:rPr>
        <w:t xml:space="preserve">підрозділу </w:t>
      </w:r>
      <w:r>
        <w:rPr>
          <w:sz w:val="28"/>
          <w:szCs w:val="28"/>
          <w:rtl w:val="0"/>
          <w:lang w:val="ru-RU"/>
        </w:rPr>
        <w:t xml:space="preserve">10 </w:t>
      </w:r>
      <w:r>
        <w:rPr>
          <w:sz w:val="28"/>
          <w:szCs w:val="28"/>
          <w:rtl w:val="0"/>
          <w:lang w:val="ru-RU"/>
        </w:rPr>
        <w:t>розділу ХХ </w:t>
      </w:r>
      <w:bookmarkStart w:name="_Hlk204122441" w:id="1"/>
      <w:r>
        <w:rPr>
          <w:sz w:val="28"/>
          <w:szCs w:val="28"/>
          <w:rtl w:val="0"/>
          <w:lang w:val="ru-RU"/>
        </w:rPr>
        <w:t>«Перехідні положення» </w:t>
      </w:r>
      <w:bookmarkEnd w:id="1"/>
      <w:r>
        <w:rPr>
          <w:sz w:val="28"/>
          <w:szCs w:val="28"/>
          <w:rtl w:val="0"/>
          <w:lang w:val="ru-RU"/>
        </w:rPr>
        <w:t>Кодексу запроваджено особливий порядок визначення МПЗ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що не передбачає застосування кількості місяців перебування у власності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оренді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користуванні на інших умовах відповідних земельних ділянок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ind w:firstLine="567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 урахуванням зазначеного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платник податку на прибуток за результатами діяльності за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2024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рік має розрахувати суму МПЗ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визначену відповідно до підпунктів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38</w:t>
      </w:r>
      <w:r>
        <w:rPr>
          <w:outline w:val="0"/>
          <w:color w:val="000000"/>
          <w:sz w:val="28"/>
          <w:szCs w:val="28"/>
          <w:u w:color="000000"/>
          <w:vertAlign w:val="superscript"/>
          <w:rtl w:val="0"/>
          <w:lang w:val="ru-RU"/>
          <w14:textFill>
            <w14:solidFill>
              <w14:srgbClr w14:val="000000"/>
            </w14:solidFill>
          </w14:textFill>
        </w:rPr>
        <w:t>1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.1.1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і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38</w:t>
      </w:r>
      <w:r>
        <w:rPr>
          <w:outline w:val="0"/>
          <w:color w:val="000000"/>
          <w:sz w:val="28"/>
          <w:szCs w:val="28"/>
          <w:u w:color="000000"/>
          <w:vertAlign w:val="superscript"/>
          <w:rtl w:val="0"/>
          <w:lang w:val="ru-RU"/>
          <w14:textFill>
            <w14:solidFill>
              <w14:srgbClr w14:val="000000"/>
            </w14:solidFill>
          </w14:textFill>
        </w:rPr>
        <w:t>1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.1.2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38</w:t>
      </w:r>
      <w:r>
        <w:rPr>
          <w:outline w:val="0"/>
          <w:color w:val="000000"/>
          <w:sz w:val="28"/>
          <w:szCs w:val="28"/>
          <w:u w:color="000000"/>
          <w:vertAlign w:val="superscript"/>
          <w:rtl w:val="0"/>
          <w:lang w:val="ru-RU"/>
          <w14:textFill>
            <w14:solidFill>
              <w14:srgbClr w14:val="000000"/>
            </w14:solidFill>
          </w14:textFill>
        </w:rPr>
        <w:t>1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.1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38</w:t>
      </w:r>
      <w:r>
        <w:rPr>
          <w:outline w:val="0"/>
          <w:color w:val="000000"/>
          <w:sz w:val="28"/>
          <w:szCs w:val="28"/>
          <w:u w:color="000000"/>
          <w:vertAlign w:val="superscript"/>
          <w:rtl w:val="0"/>
          <w:lang w:val="ru-RU"/>
          <w14:textFill>
            <w14:solidFill>
              <w14:srgbClr w14:val="000000"/>
            </w14:solidFill>
          </w14:textFill>
        </w:rPr>
        <w:t>1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Кодексу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 урахуванням вимог п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74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підрозділу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10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розділу ХХ «Перехідні положення» Кодексу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ind w:firstLine="567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 метою дотримання вимог п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74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підрозділу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10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розділу ХХ «Перехідні положення» Кодексу у Розрахунку сум МПЗ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визначеного в додатку МПЗ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 до Декларації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передбачено здійснення обрахунку додаткових показників для визначення мінімального допустимого значення суми МПЗ щодо кожної земельної ділянки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Normal.0"/>
        <w:ind w:firstLine="567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у графі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15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– визначається розрахункова сума МПЗ за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гектар земельної ділянки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як результат ділення показника графи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13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або графи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14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на площу земельної ділянки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(S),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зазначену у графі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3);</w:t>
      </w:r>
    </w:p>
    <w:p>
      <w:pPr>
        <w:pStyle w:val="Normal.0"/>
        <w:ind w:firstLine="567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у графі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16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– визначається розрахункова сума МПЗ за земельні ділянки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у площі яких частка ріллі становить не менше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50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відсотків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щоб обрахувати її умовну вартість на рівні не менше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1400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гривень з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гектара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(1400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х площу земельної ділянки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(S),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зазначену у графі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3);</w:t>
      </w:r>
    </w:p>
    <w:p>
      <w:pPr>
        <w:pStyle w:val="Normal.0"/>
        <w:ind w:firstLine="567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у графі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17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– визначається розрахункова сума МПЗ за інші земельні ділянки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у яких відсоток ріллі не перевищує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50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відсотків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щоб обрахувати її умовну вартість на рівні не менше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700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гривень з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гектара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(700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х площу земельної ділянки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(S),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зазначену у графі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3).</w:t>
      </w:r>
    </w:p>
    <w:p>
      <w:pPr>
        <w:pStyle w:val="Normal.0"/>
        <w:ind w:firstLine="567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 цьому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у графі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18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– відображається сума мінімального податкового зобов’язання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яка має найбільше значення із показників граф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13, 14, 16, 17,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та  переноситься до рядка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02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МПЗ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 додатка МПЗ до рядка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06.2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МПЗ Декларації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Body Text"/>
        <w:ind w:firstLine="567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ind w:firstLine="567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Індивідуальна податкова консультація має індивідуальний характер і може використовуватися виключно платником податків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якому надано таку консультацію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пункт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52.2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статті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52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розділу ІІ Кодексу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та діє до зміни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втрати чинності норм законодавства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щодо яких надано індивідуальну податкову консультацію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ind w:firstLine="567"/>
        <w:jc w:val="both"/>
      </w:pPr>
      <w:r/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1134" w:right="567" w:bottom="1247" w:left="1701" w:header="709" w:footer="709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612"/>
        <w:tab w:val="clear" w:pos="9639"/>
      </w:tabs>
      <w:jc w:val="center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9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Колонтитули">
    <w:name w:val="Колонтитули"/>
    <w:next w:val="Колонтитули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Другое">
    <w:name w:val="Другое"/>
    <w:next w:val="Другое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9"/>
      <w:szCs w:val="19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Основной текст1">
    <w:name w:val="Основной текст1"/>
    <w:next w:val="Основной текст1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22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